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4BCBCF25" w14:textId="77777777" w:rsidR="00567E6F" w:rsidRDefault="00567E6F">
      <w:pPr>
        <w:spacing w:line="300" w:lineRule="atLeast"/>
        <w:jc w:val="center"/>
        <w:rPr>
          <w:rFonts w:ascii="David" w:hAnsi="David"/>
          <w:b/>
          <w:bCs/>
          <w:sz w:val="22"/>
          <w:szCs w:val="32"/>
          <w:rtl/>
          <w:lang w:eastAsia="en-US"/>
        </w:rPr>
      </w:pPr>
    </w:p>
    <w:p w14:paraId="18305756" w14:textId="695061FB" w:rsidR="00371980" w:rsidRDefault="00371980">
      <w:pPr>
        <w:spacing w:line="300" w:lineRule="atLeast"/>
        <w:jc w:val="center"/>
        <w:rPr>
          <w:rFonts w:ascii="David" w:hAnsi="David"/>
          <w:b/>
          <w:bCs/>
          <w:sz w:val="22"/>
          <w:szCs w:val="32"/>
          <w:rtl/>
          <w:lang w:eastAsia="en-US"/>
        </w:rPr>
      </w:pPr>
      <w:r>
        <w:rPr>
          <w:rFonts w:ascii="David" w:hAnsi="David"/>
          <w:b/>
          <w:bCs/>
          <w:sz w:val="22"/>
          <w:szCs w:val="32"/>
          <w:rtl/>
          <w:lang w:eastAsia="en-US"/>
        </w:rPr>
        <w:t>מדינת ישראל</w:t>
      </w:r>
    </w:p>
    <w:p w14:paraId="11934C65" w14:textId="77777777" w:rsidR="00371980" w:rsidRDefault="00371980">
      <w:pPr>
        <w:spacing w:line="300" w:lineRule="atLeast"/>
        <w:jc w:val="center"/>
        <w:rPr>
          <w:rFonts w:ascii="David" w:hAnsi="David"/>
          <w:b/>
          <w:bCs/>
          <w:sz w:val="22"/>
          <w:szCs w:val="32"/>
          <w:rtl/>
          <w:lang w:eastAsia="en-US"/>
        </w:rPr>
      </w:pPr>
      <w:smartTag w:uri="urn:schemas-microsoft-com:office:smarttags" w:element="PersonName">
        <w:smartTagPr>
          <w:attr w:name="ProductID" w:val="משרד החינוך"/>
        </w:smartTagPr>
        <w:r>
          <w:rPr>
            <w:rFonts w:ascii="David" w:hAnsi="David"/>
            <w:b/>
            <w:bCs/>
            <w:sz w:val="18"/>
            <w:szCs w:val="28"/>
            <w:rtl/>
            <w:lang w:eastAsia="en-US"/>
          </w:rPr>
          <w:t>משרד החינוך</w:t>
        </w:r>
      </w:smartTag>
      <w:r>
        <w:rPr>
          <w:rFonts w:ascii="David" w:hAnsi="David"/>
          <w:b/>
          <w:bCs/>
          <w:sz w:val="18"/>
          <w:szCs w:val="28"/>
          <w:rtl/>
          <w:lang w:eastAsia="en-US"/>
        </w:rPr>
        <w:t xml:space="preserve"> </w:t>
      </w:r>
    </w:p>
    <w:p w14:paraId="5AE68379" w14:textId="77777777" w:rsidR="00371980" w:rsidRDefault="00371980">
      <w:pPr>
        <w:adjustRightInd/>
        <w:spacing w:line="240" w:lineRule="auto"/>
        <w:jc w:val="center"/>
        <w:textAlignment w:val="auto"/>
        <w:rPr>
          <w:rFonts w:ascii="David" w:eastAsia="Calibri" w:hAnsi="David"/>
          <w:b/>
          <w:bCs/>
          <w:rtl/>
        </w:rPr>
      </w:pPr>
      <w:r>
        <w:rPr>
          <w:rFonts w:ascii="David" w:eastAsia="Calibri" w:hAnsi="David"/>
          <w:b/>
          <w:bCs/>
          <w:rtl/>
        </w:rPr>
        <w:t>אגף בכיר, תפעול רכש ולוגיסטיקה</w:t>
      </w:r>
    </w:p>
    <w:p w14:paraId="584EAF6B" w14:textId="54461D28" w:rsidR="00371980" w:rsidRDefault="006D1211" w:rsidP="00D733F9">
      <w:pPr>
        <w:adjustRightInd/>
        <w:spacing w:line="240" w:lineRule="auto"/>
        <w:jc w:val="center"/>
        <w:textAlignment w:val="auto"/>
        <w:rPr>
          <w:rFonts w:ascii="David" w:hAnsi="David"/>
          <w:b/>
          <w:bCs/>
          <w:rtl/>
          <w:lang w:eastAsia="en-US"/>
        </w:rPr>
      </w:pPr>
      <w:r w:rsidRPr="00D733F9">
        <w:rPr>
          <w:rFonts w:ascii="David" w:eastAsia="Calibri" w:hAnsi="David"/>
          <w:b/>
          <w:bCs/>
          <w:rtl/>
        </w:rPr>
        <w:tab/>
      </w:r>
      <w:r w:rsidR="00371980" w:rsidRPr="00D733F9">
        <w:rPr>
          <w:rFonts w:ascii="David" w:eastAsia="Calibri" w:hAnsi="David"/>
          <w:b/>
          <w:bCs/>
          <w:rtl/>
        </w:rPr>
        <w:t>אגף רכש מכרזים והתקשרויות</w:t>
      </w:r>
      <w:r>
        <w:rPr>
          <w:rFonts w:ascii="David" w:hAnsi="David"/>
          <w:b/>
          <w:bCs/>
          <w:rtl/>
          <w:lang w:eastAsia="en-US"/>
        </w:rPr>
        <w:tab/>
      </w:r>
    </w:p>
    <w:p w14:paraId="28EE0411" w14:textId="77777777" w:rsidR="00D733F9" w:rsidRDefault="00D733F9">
      <w:pPr>
        <w:jc w:val="right"/>
        <w:rPr>
          <w:rtl/>
        </w:rPr>
      </w:pPr>
    </w:p>
    <w:p w14:paraId="3D2C6D48" w14:textId="6CB696EE" w:rsidR="00371980" w:rsidRDefault="000B4DC9">
      <w:pPr>
        <w:jc w:val="right"/>
        <w:rPr>
          <w:b/>
          <w:bCs/>
          <w:sz w:val="28"/>
          <w:szCs w:val="28"/>
          <w:u w:val="single"/>
          <w:rtl/>
        </w:rPr>
      </w:pPr>
      <w:r>
        <w:rPr>
          <w:rFonts w:hint="cs"/>
          <w:rtl/>
        </w:rPr>
        <w:t>10</w:t>
      </w:r>
      <w:r w:rsidRPr="0067565F">
        <w:rPr>
          <w:rtl/>
        </w:rPr>
        <w:t xml:space="preserve"> </w:t>
      </w:r>
      <w:r>
        <w:rPr>
          <w:rFonts w:hint="cs"/>
          <w:rtl/>
        </w:rPr>
        <w:t>מאי</w:t>
      </w:r>
      <w:r w:rsidRPr="0067565F">
        <w:rPr>
          <w:rtl/>
        </w:rPr>
        <w:t xml:space="preserve"> </w:t>
      </w:r>
      <w:r w:rsidR="00371980" w:rsidRPr="0067565F">
        <w:rPr>
          <w:rtl/>
        </w:rPr>
        <w:t>202</w:t>
      </w:r>
      <w:r w:rsidR="0067565F" w:rsidRPr="0067565F">
        <w:rPr>
          <w:rFonts w:hint="cs"/>
          <w:rtl/>
        </w:rPr>
        <w:t>6</w:t>
      </w:r>
    </w:p>
    <w:p w14:paraId="21AD935C" w14:textId="77777777" w:rsidR="008F4A9E" w:rsidRDefault="008F4A9E" w:rsidP="008F4A9E">
      <w:pPr>
        <w:jc w:val="center"/>
        <w:rPr>
          <w:b/>
          <w:bCs/>
          <w:sz w:val="28"/>
          <w:szCs w:val="28"/>
          <w:u w:val="single"/>
          <w:rtl/>
        </w:rPr>
      </w:pPr>
    </w:p>
    <w:p w14:paraId="268A3739" w14:textId="6E17CA02" w:rsidR="008F4A9E" w:rsidRPr="008F4A9E" w:rsidRDefault="008F4A9E" w:rsidP="008F4A9E">
      <w:pPr>
        <w:jc w:val="center"/>
        <w:rPr>
          <w:b/>
          <w:bCs/>
          <w:sz w:val="28"/>
          <w:szCs w:val="28"/>
          <w:u w:val="single"/>
          <w:rtl/>
        </w:rPr>
      </w:pPr>
      <w:r w:rsidRPr="008F4A9E">
        <w:rPr>
          <w:b/>
          <w:bCs/>
          <w:sz w:val="28"/>
          <w:szCs w:val="28"/>
          <w:u w:val="single"/>
          <w:rtl/>
        </w:rPr>
        <w:t>מכרז</w:t>
      </w:r>
      <w:r w:rsidRPr="008F4A9E">
        <w:rPr>
          <w:rFonts w:hint="cs"/>
          <w:b/>
          <w:bCs/>
          <w:sz w:val="28"/>
          <w:szCs w:val="28"/>
          <w:u w:val="single"/>
          <w:rtl/>
        </w:rPr>
        <w:t xml:space="preserve"> </w:t>
      </w:r>
      <w:r w:rsidRPr="008F4A9E">
        <w:rPr>
          <w:b/>
          <w:bCs/>
          <w:sz w:val="28"/>
          <w:szCs w:val="28"/>
          <w:u w:val="single"/>
          <w:rtl/>
        </w:rPr>
        <w:t>מס</w:t>
      </w:r>
      <w:r w:rsidRPr="008F4A9E">
        <w:rPr>
          <w:rFonts w:hint="cs"/>
          <w:b/>
          <w:bCs/>
          <w:sz w:val="28"/>
          <w:szCs w:val="28"/>
          <w:u w:val="single"/>
          <w:rtl/>
        </w:rPr>
        <w:t>' 4</w:t>
      </w:r>
      <w:r w:rsidRPr="008F4A9E">
        <w:rPr>
          <w:b/>
          <w:bCs/>
          <w:sz w:val="28"/>
          <w:szCs w:val="28"/>
          <w:u w:val="single"/>
          <w:rtl/>
        </w:rPr>
        <w:t>/</w:t>
      </w:r>
      <w:r w:rsidRPr="008F4A9E">
        <w:rPr>
          <w:rFonts w:hint="cs"/>
          <w:b/>
          <w:bCs/>
          <w:sz w:val="28"/>
          <w:szCs w:val="28"/>
          <w:u w:val="single"/>
          <w:rtl/>
        </w:rPr>
        <w:t>2</w:t>
      </w:r>
      <w:r w:rsidRPr="008F4A9E">
        <w:rPr>
          <w:b/>
          <w:bCs/>
          <w:sz w:val="28"/>
          <w:szCs w:val="28"/>
          <w:u w:val="single"/>
          <w:rtl/>
        </w:rPr>
        <w:t>.202</w:t>
      </w:r>
      <w:r w:rsidRPr="008F4A9E">
        <w:rPr>
          <w:rFonts w:hint="cs"/>
          <w:b/>
          <w:bCs/>
          <w:sz w:val="28"/>
          <w:szCs w:val="28"/>
          <w:u w:val="single"/>
          <w:rtl/>
        </w:rPr>
        <w:t xml:space="preserve">6 </w:t>
      </w:r>
      <w:r w:rsidRPr="008F4A9E">
        <w:rPr>
          <w:b/>
          <w:bCs/>
          <w:sz w:val="28"/>
          <w:szCs w:val="28"/>
          <w:u w:val="single"/>
          <w:rtl/>
        </w:rPr>
        <w:t>: מתן שירותי השגחה על נבחנים בבחינות הבגרות והסמכה לטכנאים והנדסאים</w:t>
      </w:r>
    </w:p>
    <w:p w14:paraId="1FBAB90B" w14:textId="77777777" w:rsidR="00371980" w:rsidRDefault="00371980">
      <w:pPr>
        <w:jc w:val="center"/>
        <w:rPr>
          <w:rFonts w:ascii="David" w:hAnsi="David"/>
          <w:b/>
          <w:bCs/>
          <w:sz w:val="30"/>
          <w:szCs w:val="30"/>
          <w:u w:val="single"/>
          <w:rtl/>
        </w:rPr>
      </w:pPr>
    </w:p>
    <w:p w14:paraId="59599EA8" w14:textId="3B4166D1" w:rsidR="00371980" w:rsidRDefault="00371980">
      <w:pPr>
        <w:jc w:val="center"/>
        <w:rPr>
          <w:rFonts w:ascii="David" w:hAnsi="David"/>
          <w:b/>
          <w:bCs/>
          <w:sz w:val="30"/>
          <w:szCs w:val="30"/>
          <w:u w:val="single"/>
          <w:rtl/>
        </w:rPr>
      </w:pPr>
      <w:r>
        <w:rPr>
          <w:rFonts w:ascii="David" w:hAnsi="David"/>
          <w:b/>
          <w:bCs/>
          <w:sz w:val="30"/>
          <w:szCs w:val="30"/>
          <w:u w:val="single"/>
          <w:rtl/>
        </w:rPr>
        <w:t xml:space="preserve">הבהרה </w:t>
      </w:r>
      <w:r>
        <w:rPr>
          <w:rFonts w:ascii="David" w:hAnsi="David" w:hint="cs"/>
          <w:b/>
          <w:bCs/>
          <w:sz w:val="30"/>
          <w:szCs w:val="30"/>
          <w:u w:val="single"/>
          <w:rtl/>
        </w:rPr>
        <w:t xml:space="preserve">מס' </w:t>
      </w:r>
      <w:r w:rsidR="00537415">
        <w:rPr>
          <w:rFonts w:ascii="David" w:hAnsi="David" w:hint="cs"/>
          <w:b/>
          <w:bCs/>
          <w:sz w:val="30"/>
          <w:szCs w:val="30"/>
          <w:u w:val="single"/>
          <w:rtl/>
        </w:rPr>
        <w:t>8</w:t>
      </w:r>
    </w:p>
    <w:p w14:paraId="646AE8D9" w14:textId="77777777" w:rsidR="006E257D" w:rsidRDefault="006E257D">
      <w:pPr>
        <w:tabs>
          <w:tab w:val="center" w:pos="7259"/>
        </w:tabs>
        <w:spacing w:line="300" w:lineRule="atLeast"/>
        <w:jc w:val="left"/>
        <w:rPr>
          <w:rFonts w:ascii="David" w:hAnsi="David"/>
          <w:sz w:val="26"/>
          <w:szCs w:val="26"/>
          <w:rtl/>
        </w:rPr>
      </w:pPr>
    </w:p>
    <w:p w14:paraId="1AA96D32" w14:textId="77777777" w:rsidR="00537415" w:rsidRDefault="00567E6F" w:rsidP="00567E6F">
      <w:pPr>
        <w:tabs>
          <w:tab w:val="center" w:pos="7259"/>
        </w:tabs>
        <w:jc w:val="left"/>
        <w:rPr>
          <w:rFonts w:ascii="David" w:hAnsi="David"/>
          <w:rtl/>
        </w:rPr>
      </w:pPr>
      <w:r w:rsidRPr="00567E6F">
        <w:rPr>
          <w:rFonts w:ascii="David" w:hAnsi="David"/>
          <w:rtl/>
        </w:rPr>
        <w:t>הרינו להודיעכם</w:t>
      </w:r>
      <w:r w:rsidR="00537415">
        <w:rPr>
          <w:rFonts w:ascii="David" w:hAnsi="David" w:hint="cs"/>
          <w:rtl/>
        </w:rPr>
        <w:t xml:space="preserve"> על העדכונים הבאים:</w:t>
      </w:r>
    </w:p>
    <w:p w14:paraId="0DDC01CF" w14:textId="1986F0D4" w:rsidR="00537415" w:rsidRDefault="00537415" w:rsidP="006E3286">
      <w:pPr>
        <w:pStyle w:val="af2"/>
        <w:numPr>
          <w:ilvl w:val="0"/>
          <w:numId w:val="12"/>
        </w:numPr>
        <w:tabs>
          <w:tab w:val="center" w:pos="7259"/>
        </w:tabs>
        <w:rPr>
          <w:rFonts w:ascii="David" w:hAnsi="David"/>
        </w:rPr>
      </w:pPr>
      <w:r w:rsidRPr="00537415">
        <w:rPr>
          <w:rFonts w:ascii="David" w:hAnsi="David" w:hint="cs"/>
          <w:rtl/>
        </w:rPr>
        <w:t xml:space="preserve">סעיף 4.7 למכרז בנושא ההדרכות </w:t>
      </w:r>
      <w:r w:rsidRPr="00537415">
        <w:rPr>
          <w:rFonts w:ascii="David" w:hAnsi="David"/>
          <w:rtl/>
        </w:rPr>
        <w:t>–</w:t>
      </w:r>
      <w:r w:rsidRPr="00537415">
        <w:rPr>
          <w:rFonts w:ascii="David" w:hAnsi="David" w:hint="cs"/>
          <w:rtl/>
        </w:rPr>
        <w:t xml:space="preserve"> הספקים יהיו רשאים לבצע הדרכות באופן מקוון על פי שיקול דעתם.</w:t>
      </w:r>
    </w:p>
    <w:p w14:paraId="02C62FE2" w14:textId="36C9818C" w:rsidR="00F8664B" w:rsidRDefault="00537415" w:rsidP="006E3286">
      <w:pPr>
        <w:pStyle w:val="af2"/>
        <w:numPr>
          <w:ilvl w:val="0"/>
          <w:numId w:val="12"/>
        </w:numPr>
        <w:tabs>
          <w:tab w:val="center" w:pos="7259"/>
        </w:tabs>
        <w:rPr>
          <w:rFonts w:ascii="David" w:hAnsi="David"/>
        </w:rPr>
      </w:pPr>
      <w:r>
        <w:rPr>
          <w:rFonts w:ascii="David" w:hAnsi="David" w:hint="cs"/>
          <w:rtl/>
        </w:rPr>
        <w:t xml:space="preserve">סעיף 4.14.5 נאמן פנימי </w:t>
      </w:r>
      <w:r>
        <w:rPr>
          <w:rFonts w:ascii="David" w:hAnsi="David"/>
          <w:rtl/>
        </w:rPr>
        <w:t>–</w:t>
      </w:r>
      <w:r>
        <w:rPr>
          <w:rFonts w:ascii="David" w:hAnsi="David" w:hint="cs"/>
          <w:rtl/>
        </w:rPr>
        <w:t xml:space="preserve"> יובהר כי התשלום שנקבע עבור הנאמן הפנימי</w:t>
      </w:r>
      <w:r w:rsidR="00F8664B">
        <w:rPr>
          <w:rFonts w:ascii="David" w:hAnsi="David" w:hint="cs"/>
          <w:rtl/>
        </w:rPr>
        <w:t xml:space="preserve">, שהוא 42.9 ₪ </w:t>
      </w:r>
      <w:r w:rsidR="00450C9E">
        <w:rPr>
          <w:rFonts w:ascii="David" w:hAnsi="David" w:hint="cs"/>
          <w:rtl/>
        </w:rPr>
        <w:t xml:space="preserve">לשעה </w:t>
      </w:r>
      <w:r w:rsidR="00F8664B">
        <w:rPr>
          <w:rFonts w:ascii="David" w:hAnsi="David" w:hint="cs"/>
          <w:rtl/>
        </w:rPr>
        <w:t xml:space="preserve">עבור 5 שעות, </w:t>
      </w:r>
      <w:r w:rsidR="00F8664B" w:rsidRPr="00D74226">
        <w:rPr>
          <w:rFonts w:ascii="David" w:hAnsi="David"/>
          <w:rtl/>
        </w:rPr>
        <w:t xml:space="preserve"> מגלם </w:t>
      </w:r>
      <w:r w:rsidR="00D74226">
        <w:rPr>
          <w:rFonts w:ascii="David" w:hAnsi="David" w:hint="cs"/>
          <w:rtl/>
        </w:rPr>
        <w:t xml:space="preserve">גם </w:t>
      </w:r>
      <w:r w:rsidR="00450C9E">
        <w:rPr>
          <w:rFonts w:ascii="David" w:hAnsi="David" w:hint="cs"/>
          <w:rtl/>
        </w:rPr>
        <w:t>בתוכו</w:t>
      </w:r>
      <w:r w:rsidR="00F8664B" w:rsidRPr="00D74226">
        <w:rPr>
          <w:rFonts w:ascii="David" w:hAnsi="David"/>
          <w:rtl/>
        </w:rPr>
        <w:t xml:space="preserve"> את זמן ועלות הנסיעות</w:t>
      </w:r>
      <w:r w:rsidR="00450C9E">
        <w:rPr>
          <w:rFonts w:ascii="David" w:hAnsi="David" w:hint="cs"/>
          <w:rtl/>
        </w:rPr>
        <w:t>.</w:t>
      </w:r>
      <w:r w:rsidR="00F8664B" w:rsidRPr="00D74226">
        <w:rPr>
          <w:rFonts w:ascii="David" w:hAnsi="David"/>
          <w:rtl/>
        </w:rPr>
        <w:t xml:space="preserve"> </w:t>
      </w:r>
      <w:r w:rsidRPr="00D74226">
        <w:rPr>
          <w:rFonts w:ascii="David" w:hAnsi="David"/>
          <w:rtl/>
        </w:rPr>
        <w:t xml:space="preserve"> </w:t>
      </w:r>
    </w:p>
    <w:p w14:paraId="77242945" w14:textId="664484E4" w:rsidR="000B4DC9" w:rsidRDefault="00D0244A" w:rsidP="006E3286">
      <w:pPr>
        <w:pStyle w:val="af2"/>
        <w:numPr>
          <w:ilvl w:val="0"/>
          <w:numId w:val="12"/>
        </w:numPr>
        <w:tabs>
          <w:tab w:val="center" w:pos="7259"/>
        </w:tabs>
        <w:rPr>
          <w:rFonts w:ascii="David" w:hAnsi="David"/>
        </w:rPr>
      </w:pPr>
      <w:r w:rsidRPr="00D0244A">
        <w:rPr>
          <w:rFonts w:ascii="David" w:hAnsi="David"/>
          <w:rtl/>
        </w:rPr>
        <w:t xml:space="preserve">בהתייחס לתשובה 63 שניתנה במסמך הבהרה 2 מיום 17 פברואר 2026 יובהר כי המשרד ישלם לקבלן 64 </w:t>
      </w:r>
      <w:r w:rsidR="008603C2">
        <w:rPr>
          <w:rFonts w:ascii="David" w:hAnsi="David" w:hint="cs"/>
          <w:rtl/>
        </w:rPr>
        <w:t>₪</w:t>
      </w:r>
      <w:r w:rsidRPr="00D0244A">
        <w:rPr>
          <w:rFonts w:ascii="David" w:hAnsi="David"/>
          <w:rtl/>
        </w:rPr>
        <w:t xml:space="preserve"> עבור כל מודרך שהשתתף בהדרכה. ההדרכה תתקיים באופן מקוון, המשתתף יקבל שכר עבור ההשתתפות בהדרכה בהתאם לתעריף השעתי שנקבע במכרז לכל בעל תפקיד. ההדרכה תתקיים פעמיים בשנה לקראת מועד קיץ ולקראת מועד חורף ותתקיים במשך שעה בכל פעם. עבור כל מועד ישולם 64 ש"ח לקבלן בגין כל משתתף בשעת הדרכה.</w:t>
      </w:r>
      <w:r w:rsidR="00995047">
        <w:rPr>
          <w:rFonts w:ascii="David" w:hAnsi="David" w:hint="cs"/>
          <w:rtl/>
        </w:rPr>
        <w:t xml:space="preserve"> ראו תיקון לסעיף 4.17.3 למכרז. </w:t>
      </w:r>
    </w:p>
    <w:p w14:paraId="6B1E8203" w14:textId="6DAB16F0" w:rsidR="000B4DC9" w:rsidRPr="006E3286" w:rsidRDefault="000B4DC9" w:rsidP="006E3286">
      <w:pPr>
        <w:pStyle w:val="af2"/>
        <w:numPr>
          <w:ilvl w:val="0"/>
          <w:numId w:val="12"/>
        </w:numPr>
        <w:tabs>
          <w:tab w:val="center" w:pos="7259"/>
        </w:tabs>
        <w:rPr>
          <w:rFonts w:ascii="David" w:hAnsi="David"/>
        </w:rPr>
      </w:pPr>
      <w:r>
        <w:rPr>
          <w:rFonts w:ascii="David" w:hAnsi="David" w:hint="cs"/>
          <w:rtl/>
        </w:rPr>
        <w:t xml:space="preserve">תעריפי המקסימום שנקבעו במכרז - </w:t>
      </w:r>
      <w:r w:rsidRPr="002342EE">
        <w:rPr>
          <w:rtl/>
        </w:rPr>
        <w:t>בהמשך להחלטת וועדת המכרזים מיום 19/3/26, פנה המשרד למשרד רו"ח אהוד שושן, על מנת</w:t>
      </w:r>
      <w:r>
        <w:rPr>
          <w:rFonts w:hint="cs"/>
          <w:rtl/>
        </w:rPr>
        <w:t xml:space="preserve"> לבדוק את הטענות ולגבש מענה מלא</w:t>
      </w:r>
      <w:r w:rsidRPr="002342EE">
        <w:rPr>
          <w:rtl/>
        </w:rPr>
        <w:t xml:space="preserve"> לטענות שהועלו בפניותיהם ש</w:t>
      </w:r>
      <w:r>
        <w:rPr>
          <w:rFonts w:hint="cs"/>
          <w:rtl/>
        </w:rPr>
        <w:t xml:space="preserve">ל </w:t>
      </w:r>
      <w:r w:rsidR="006E3286">
        <w:rPr>
          <w:rFonts w:hint="cs"/>
          <w:rtl/>
        </w:rPr>
        <w:t>עוה"ד ...</w:t>
      </w:r>
      <w:r w:rsidR="005E1FAF">
        <w:rPr>
          <w:rFonts w:hint="cs"/>
          <w:rtl/>
        </w:rPr>
        <w:t xml:space="preserve"> </w:t>
      </w:r>
      <w:r>
        <w:rPr>
          <w:rtl/>
        </w:rPr>
        <w:t>מיום 16.3.2026 ו</w:t>
      </w:r>
      <w:r w:rsidR="006E3286">
        <w:rPr>
          <w:rFonts w:hint="cs"/>
          <w:rtl/>
        </w:rPr>
        <w:t xml:space="preserve">עוה"ד ... </w:t>
      </w:r>
      <w:r>
        <w:rPr>
          <w:rtl/>
        </w:rPr>
        <w:t>מיום 17.3.2026.</w:t>
      </w:r>
    </w:p>
    <w:p w14:paraId="0C6EA6ED" w14:textId="55941C72" w:rsidR="000B4DC9" w:rsidRPr="002342EE" w:rsidRDefault="000B4DC9" w:rsidP="006E3286">
      <w:pPr>
        <w:ind w:left="360"/>
        <w:rPr>
          <w:rtl/>
        </w:rPr>
      </w:pPr>
      <w:r w:rsidRPr="002342EE">
        <w:rPr>
          <w:rtl/>
        </w:rPr>
        <w:t>על אף שהוועדה הסבירה בהחלטותיה הקודמות כי התמחור שערכה</w:t>
      </w:r>
      <w:r>
        <w:rPr>
          <w:rFonts w:hint="cs"/>
          <w:rtl/>
        </w:rPr>
        <w:t>,</w:t>
      </w:r>
      <w:r w:rsidRPr="002342EE">
        <w:rPr>
          <w:rtl/>
        </w:rPr>
        <w:t xml:space="preserve"> כולל בסעיפים שונים</w:t>
      </w:r>
      <w:r>
        <w:rPr>
          <w:rFonts w:hint="cs"/>
          <w:rtl/>
        </w:rPr>
        <w:t>,</w:t>
      </w:r>
      <w:r w:rsidRPr="002342EE">
        <w:rPr>
          <w:rtl/>
        </w:rPr>
        <w:t xml:space="preserve"> רווח לספקים, שבו הפונים וטענו כי מדובר בתמחור </w:t>
      </w:r>
      <w:r w:rsidRPr="002342EE">
        <w:rPr>
          <w:u w:val="single"/>
          <w:rtl/>
        </w:rPr>
        <w:t>הפסדי</w:t>
      </w:r>
      <w:r w:rsidRPr="002342EE">
        <w:rPr>
          <w:rtl/>
        </w:rPr>
        <w:t xml:space="preserve"> </w:t>
      </w:r>
      <w:r>
        <w:rPr>
          <w:rFonts w:hint="cs"/>
          <w:rtl/>
        </w:rPr>
        <w:t xml:space="preserve">. הועדה סבורה  וכך השיבה בהחלטותיה הקודמות, </w:t>
      </w:r>
      <w:r w:rsidRPr="002342EE">
        <w:rPr>
          <w:rtl/>
        </w:rPr>
        <w:t xml:space="preserve">כי אין מקום להתייחס ולדרוש בחינה של כל סעיף בפני עצמו, וכי אופן </w:t>
      </w:r>
      <w:r>
        <w:rPr>
          <w:rFonts w:hint="cs"/>
          <w:rtl/>
        </w:rPr>
        <w:t>ה</w:t>
      </w:r>
      <w:r w:rsidRPr="002342EE">
        <w:rPr>
          <w:rtl/>
        </w:rPr>
        <w:t xml:space="preserve">בדיקה </w:t>
      </w:r>
      <w:r>
        <w:rPr>
          <w:rFonts w:hint="cs"/>
          <w:rtl/>
        </w:rPr>
        <w:t xml:space="preserve">שהוצג ע"י הפונים </w:t>
      </w:r>
      <w:r w:rsidRPr="002342EE">
        <w:rPr>
          <w:rtl/>
        </w:rPr>
        <w:t xml:space="preserve"> הוא מוטה ומטעה,</w:t>
      </w:r>
      <w:r w:rsidR="005E1FAF">
        <w:rPr>
          <w:rFonts w:hint="cs"/>
          <w:rtl/>
        </w:rPr>
        <w:t xml:space="preserve"> </w:t>
      </w:r>
      <w:r>
        <w:rPr>
          <w:rFonts w:hint="cs"/>
          <w:rtl/>
        </w:rPr>
        <w:t>הועדה כן מצאה מקום להשיב לטענות שהועלו בפניות לעיל,</w:t>
      </w:r>
      <w:r w:rsidRPr="005D6CA5">
        <w:rPr>
          <w:rtl/>
        </w:rPr>
        <w:t xml:space="preserve"> </w:t>
      </w:r>
      <w:r w:rsidRPr="002342EE">
        <w:rPr>
          <w:rtl/>
        </w:rPr>
        <w:t>על מנת להסיר את החשש</w:t>
      </w:r>
      <w:r>
        <w:rPr>
          <w:rFonts w:hint="cs"/>
          <w:rtl/>
        </w:rPr>
        <w:t xml:space="preserve"> שעלה ע"י הפונים </w:t>
      </w:r>
      <w:r w:rsidRPr="002342EE">
        <w:rPr>
          <w:rtl/>
        </w:rPr>
        <w:t xml:space="preserve">ולבסס </w:t>
      </w:r>
      <w:r w:rsidRPr="002342EE">
        <w:rPr>
          <w:u w:val="single"/>
          <w:rtl/>
        </w:rPr>
        <w:t>באופן מפורט</w:t>
      </w:r>
      <w:r w:rsidRPr="002342EE">
        <w:rPr>
          <w:rtl/>
        </w:rPr>
        <w:t xml:space="preserve"> את מנגנון התמחור שערך המשרד</w:t>
      </w:r>
      <w:r>
        <w:rPr>
          <w:rFonts w:hint="cs"/>
          <w:rtl/>
        </w:rPr>
        <w:t>.</w:t>
      </w:r>
      <w:r w:rsidRPr="002342EE">
        <w:rPr>
          <w:rtl/>
        </w:rPr>
        <w:t xml:space="preserve"> </w:t>
      </w:r>
      <w:r>
        <w:rPr>
          <w:rFonts w:hint="cs"/>
          <w:rtl/>
        </w:rPr>
        <w:t>הוועדה פנתה</w:t>
      </w:r>
      <w:r w:rsidRPr="002342EE">
        <w:rPr>
          <w:rtl/>
        </w:rPr>
        <w:t xml:space="preserve"> לרו"ח, והעמידה בפניו לבחינתו את מסמכי המכרז, ואת נתוני הביצוע בפועל בשנת 2025 ונתוני מועד חורף </w:t>
      </w:r>
      <w:r>
        <w:rPr>
          <w:rFonts w:hint="cs"/>
          <w:rtl/>
        </w:rPr>
        <w:t xml:space="preserve"> </w:t>
      </w:r>
      <w:r w:rsidRPr="002342EE">
        <w:rPr>
          <w:rtl/>
        </w:rPr>
        <w:t>2026</w:t>
      </w:r>
      <w:r>
        <w:rPr>
          <w:rFonts w:hint="cs"/>
          <w:rtl/>
        </w:rPr>
        <w:t xml:space="preserve"> ומסמכים נוספים.</w:t>
      </w:r>
      <w:r w:rsidRPr="002342EE">
        <w:rPr>
          <w:rtl/>
        </w:rPr>
        <w:t xml:space="preserve"> </w:t>
      </w:r>
    </w:p>
    <w:p w14:paraId="0C069310" w14:textId="10040BBB" w:rsidR="000B4DC9" w:rsidRPr="002342EE" w:rsidRDefault="000B4DC9" w:rsidP="006E3286">
      <w:pPr>
        <w:ind w:left="360"/>
        <w:rPr>
          <w:rtl/>
        </w:rPr>
      </w:pPr>
      <w:r w:rsidRPr="002342EE">
        <w:rPr>
          <w:rtl/>
        </w:rPr>
        <w:t>הוועדה קראה את ממצאי הדו"ח ואת התחשיבים שצורפו לו</w:t>
      </w:r>
      <w:r>
        <w:rPr>
          <w:rFonts w:hint="cs"/>
          <w:rtl/>
        </w:rPr>
        <w:t>. עיקרי הדו"ח</w:t>
      </w:r>
      <w:r w:rsidRPr="002342EE">
        <w:rPr>
          <w:rtl/>
        </w:rPr>
        <w:t xml:space="preserve"> הוסברו </w:t>
      </w:r>
      <w:r>
        <w:rPr>
          <w:rFonts w:hint="cs"/>
          <w:rtl/>
        </w:rPr>
        <w:t>לוועדה</w:t>
      </w:r>
      <w:r w:rsidRPr="002342EE">
        <w:rPr>
          <w:rtl/>
        </w:rPr>
        <w:t xml:space="preserve"> </w:t>
      </w:r>
      <w:r>
        <w:rPr>
          <w:rFonts w:hint="cs"/>
          <w:rtl/>
        </w:rPr>
        <w:t xml:space="preserve"> </w:t>
      </w:r>
      <w:r w:rsidRPr="002342EE">
        <w:rPr>
          <w:rtl/>
        </w:rPr>
        <w:t>בפירוט ע"י נציגי היחידה</w:t>
      </w:r>
      <w:r>
        <w:rPr>
          <w:rFonts w:hint="cs"/>
          <w:rtl/>
        </w:rPr>
        <w:t xml:space="preserve"> ונציגה מטעם משרד רו"ח שערך את הבדיקה. </w:t>
      </w:r>
    </w:p>
    <w:p w14:paraId="734492CB" w14:textId="77777777" w:rsidR="000B4DC9" w:rsidRPr="002342EE" w:rsidRDefault="000B4DC9" w:rsidP="006E3286">
      <w:pPr>
        <w:ind w:left="360"/>
        <w:rPr>
          <w:rtl/>
        </w:rPr>
      </w:pPr>
      <w:r>
        <w:rPr>
          <w:rFonts w:hint="cs"/>
          <w:rtl/>
        </w:rPr>
        <w:t xml:space="preserve">כבר בשלב זה, יובהר כי </w:t>
      </w:r>
      <w:r w:rsidRPr="002342EE">
        <w:rPr>
          <w:rtl/>
        </w:rPr>
        <w:t>הוועדה מ</w:t>
      </w:r>
      <w:r>
        <w:rPr>
          <w:rFonts w:hint="cs"/>
          <w:rtl/>
        </w:rPr>
        <w:t>קבלת</w:t>
      </w:r>
      <w:r w:rsidRPr="002342EE">
        <w:rPr>
          <w:rtl/>
        </w:rPr>
        <w:t xml:space="preserve"> את המלצת רואה החשבון בנושא אי הבהירות בעניין אופן קיום ההדרכות ומנחה לפרסם הבהרה לפיה ההדרכות יתקיימו באופן מקוון.</w:t>
      </w:r>
    </w:p>
    <w:p w14:paraId="28C0689D" w14:textId="77777777" w:rsidR="000B4DC9" w:rsidRPr="002342EE" w:rsidRDefault="000B4DC9" w:rsidP="006E3286">
      <w:pPr>
        <w:ind w:left="360"/>
        <w:rPr>
          <w:rtl/>
        </w:rPr>
      </w:pPr>
      <w:r w:rsidRPr="002342EE">
        <w:rPr>
          <w:rtl/>
        </w:rPr>
        <w:lastRenderedPageBreak/>
        <w:t>כמו כן מבהירה הוועדה כי הנתונים לגבי שכר עובדי מטה והוצאות תפעול ותקורה</w:t>
      </w:r>
      <w:r>
        <w:rPr>
          <w:rFonts w:hint="cs"/>
          <w:rtl/>
        </w:rPr>
        <w:t>,</w:t>
      </w:r>
      <w:r w:rsidRPr="002342EE">
        <w:rPr>
          <w:rtl/>
        </w:rPr>
        <w:t xml:space="preserve"> נלקחו מ</w:t>
      </w:r>
      <w:r>
        <w:rPr>
          <w:rFonts w:hint="cs"/>
          <w:rtl/>
        </w:rPr>
        <w:t>נתוני מכרז קודם, וחוות דעת שניתנה ע"י הפונים ומעלויות מוכרות בשוק,</w:t>
      </w:r>
      <w:r w:rsidRPr="002342EE">
        <w:rPr>
          <w:rtl/>
        </w:rPr>
        <w:t xml:space="preserve"> ואין בלקיחתם בחשבון כעת כנתוני בסיס לצורך התחשיב משום הכרה עתידית בהם כמחייבים</w:t>
      </w:r>
      <w:r>
        <w:rPr>
          <w:rFonts w:hint="cs"/>
          <w:rtl/>
        </w:rPr>
        <w:t>,</w:t>
      </w:r>
      <w:r w:rsidRPr="002342EE">
        <w:rPr>
          <w:rtl/>
        </w:rPr>
        <w:t xml:space="preserve"> שכן כל מציע רשאי לתמחרם כראות עיניו ועפ"י הנכסים המצויים בידו/שביכולתו להעמידם לצורך מתן השירות, </w:t>
      </w:r>
      <w:r>
        <w:rPr>
          <w:rFonts w:hint="cs"/>
          <w:rtl/>
        </w:rPr>
        <w:t xml:space="preserve">ונתונים אלו </w:t>
      </w:r>
      <w:r w:rsidRPr="002342EE">
        <w:rPr>
          <w:rtl/>
        </w:rPr>
        <w:t xml:space="preserve"> עשויים להשתנות בחלוף הזמן</w:t>
      </w:r>
      <w:r>
        <w:rPr>
          <w:rFonts w:hint="cs"/>
          <w:rtl/>
        </w:rPr>
        <w:t xml:space="preserve">, בהתאם </w:t>
      </w:r>
      <w:r w:rsidRPr="002342EE">
        <w:rPr>
          <w:rtl/>
        </w:rPr>
        <w:t xml:space="preserve"> התנהלותו העסקית של המציע ושיקוליו </w:t>
      </w:r>
      <w:r>
        <w:rPr>
          <w:rFonts w:hint="cs"/>
          <w:rtl/>
        </w:rPr>
        <w:t>ו</w:t>
      </w:r>
      <w:r w:rsidRPr="002342EE">
        <w:rPr>
          <w:rtl/>
        </w:rPr>
        <w:t>לפי תנאי השוק באותה עת.</w:t>
      </w:r>
    </w:p>
    <w:p w14:paraId="787A140A" w14:textId="77777777" w:rsidR="000B4DC9" w:rsidRPr="002342EE" w:rsidRDefault="000B4DC9" w:rsidP="006E3286">
      <w:pPr>
        <w:ind w:left="360"/>
        <w:rPr>
          <w:rtl/>
        </w:rPr>
      </w:pPr>
      <w:r>
        <w:rPr>
          <w:rFonts w:hint="cs"/>
          <w:rtl/>
        </w:rPr>
        <w:t xml:space="preserve">לגופם של דברים, </w:t>
      </w:r>
      <w:r w:rsidRPr="002342EE">
        <w:rPr>
          <w:rtl/>
        </w:rPr>
        <w:t xml:space="preserve">הבדיקה העלתה כי </w:t>
      </w:r>
      <w:r w:rsidRPr="000B4DC9">
        <w:rPr>
          <w:b/>
          <w:bCs/>
          <w:rtl/>
        </w:rPr>
        <w:t>אחוז הרווח המחושב עומד על 6.87%,</w:t>
      </w:r>
      <w:r w:rsidRPr="002342EE">
        <w:rPr>
          <w:rtl/>
        </w:rPr>
        <w:t xml:space="preserve"> וכי מדובר בשיעור המשקף </w:t>
      </w:r>
      <w:r w:rsidRPr="006E3286">
        <w:rPr>
          <w:u w:val="single"/>
          <w:rtl/>
        </w:rPr>
        <w:t xml:space="preserve">התקשרות </w:t>
      </w:r>
      <w:r w:rsidRPr="000B4DC9">
        <w:rPr>
          <w:u w:val="single"/>
          <w:rtl/>
        </w:rPr>
        <w:t>בעלת כדאיות כלכלית סבירה</w:t>
      </w:r>
      <w:r w:rsidRPr="006E3286">
        <w:rPr>
          <w:rtl/>
        </w:rPr>
        <w:t>,</w:t>
      </w:r>
      <w:r w:rsidRPr="002342EE">
        <w:rPr>
          <w:rtl/>
        </w:rPr>
        <w:t xml:space="preserve"> בהתחשב במאפייני השירות ובמנגנוני הרווח הנוספים המובנים במבנה המכרז ומפורטים בדו"ח עצמו. ממצא זה, המגובה בדו"ח המפורט, מניח את דעת הוועדה כי אין מדובר בתמחור הפסדי, וכי הוא בעל כדאיות כלכלית לנותני השירות. </w:t>
      </w:r>
    </w:p>
    <w:p w14:paraId="7E5FCEFF" w14:textId="41098D23" w:rsidR="000B4DC9" w:rsidRDefault="000B4DC9" w:rsidP="006E3286">
      <w:pPr>
        <w:ind w:left="360"/>
        <w:rPr>
          <w:rtl/>
        </w:rPr>
      </w:pPr>
      <w:r w:rsidRPr="002342EE">
        <w:rPr>
          <w:rtl/>
        </w:rPr>
        <w:t xml:space="preserve">המשרד מבקש לקבל שירות </w:t>
      </w:r>
      <w:proofErr w:type="spellStart"/>
      <w:r w:rsidRPr="002342EE">
        <w:rPr>
          <w:rtl/>
        </w:rPr>
        <w:t>מצויין</w:t>
      </w:r>
      <w:proofErr w:type="spellEnd"/>
      <w:r w:rsidRPr="002342EE">
        <w:rPr>
          <w:rtl/>
        </w:rPr>
        <w:t xml:space="preserve"> בנושא רגיש ומורכב וסבור שכאשר המשגיחים מתוגמלים כראוי, המטרה מתממשת ואף קל יותר לספקים לאתר משגיחים ולעמוד בתנאי המכרז בכללותם.</w:t>
      </w:r>
      <w:r>
        <w:rPr>
          <w:rFonts w:hint="cs"/>
          <w:rtl/>
        </w:rPr>
        <w:t xml:space="preserve"> היות ש</w:t>
      </w:r>
      <w:r w:rsidRPr="002342EE">
        <w:rPr>
          <w:rtl/>
        </w:rPr>
        <w:t xml:space="preserve">מדובר במכרז שעיקרו שירות שניתן ע"י תפוקות, ובכל הנוגע לשכר העובדים </w:t>
      </w:r>
      <w:r>
        <w:rPr>
          <w:rFonts w:hint="cs"/>
          <w:rtl/>
        </w:rPr>
        <w:t>ו</w:t>
      </w:r>
      <w:r w:rsidRPr="002342EE">
        <w:rPr>
          <w:rtl/>
        </w:rPr>
        <w:t>המשגיחים</w:t>
      </w:r>
      <w:r>
        <w:rPr>
          <w:rFonts w:hint="cs"/>
          <w:rtl/>
        </w:rPr>
        <w:t xml:space="preserve"> הוועדה </w:t>
      </w:r>
      <w:r w:rsidRPr="002342EE">
        <w:rPr>
          <w:rtl/>
        </w:rPr>
        <w:t>עשתה מלכתחילה ככל שניתן</w:t>
      </w:r>
      <w:r>
        <w:rPr>
          <w:rFonts w:hint="cs"/>
          <w:rtl/>
        </w:rPr>
        <w:t>,</w:t>
      </w:r>
      <w:r w:rsidRPr="002342EE">
        <w:rPr>
          <w:rtl/>
        </w:rPr>
        <w:t xml:space="preserve"> כדי לתת מענה ראוי לשכרם השעתי </w:t>
      </w:r>
      <w:r>
        <w:rPr>
          <w:rFonts w:hint="cs"/>
          <w:rtl/>
        </w:rPr>
        <w:t xml:space="preserve">כך שיהיה </w:t>
      </w:r>
      <w:r w:rsidRPr="002342EE">
        <w:rPr>
          <w:rtl/>
        </w:rPr>
        <w:t>מעל שכר המינימום, ו</w:t>
      </w:r>
      <w:r>
        <w:rPr>
          <w:rFonts w:hint="cs"/>
          <w:rtl/>
        </w:rPr>
        <w:t xml:space="preserve">בכלל </w:t>
      </w:r>
      <w:r w:rsidRPr="002342EE">
        <w:rPr>
          <w:rtl/>
        </w:rPr>
        <w:t xml:space="preserve">לתנאי עבודתם עפ"י </w:t>
      </w:r>
      <w:r>
        <w:rPr>
          <w:rFonts w:hint="cs"/>
          <w:rtl/>
        </w:rPr>
        <w:t xml:space="preserve">כל </w:t>
      </w:r>
      <w:r w:rsidRPr="002342EE">
        <w:rPr>
          <w:rtl/>
        </w:rPr>
        <w:t xml:space="preserve">דין. </w:t>
      </w:r>
    </w:p>
    <w:p w14:paraId="3C950725" w14:textId="77777777" w:rsidR="000B4DC9" w:rsidRDefault="000B4DC9" w:rsidP="006E3286">
      <w:pPr>
        <w:ind w:left="360"/>
        <w:rPr>
          <w:rtl/>
        </w:rPr>
      </w:pPr>
      <w:r w:rsidRPr="002342EE">
        <w:rPr>
          <w:rtl/>
        </w:rPr>
        <w:t xml:space="preserve">כמו כן, ודא המשרד לכל אורך הדרך, כי התמחור משקף כדאיות כלכלית למציעים. למרות זאת, שבו המציעים וטענו כי מדובר בתמחור הפסדי, תוך התעלמות </w:t>
      </w:r>
      <w:r>
        <w:rPr>
          <w:rFonts w:hint="cs"/>
          <w:rtl/>
        </w:rPr>
        <w:t>מכל ההסברים שניתנו במענה לפניותיהם.</w:t>
      </w:r>
    </w:p>
    <w:p w14:paraId="3C3FEFAE" w14:textId="77777777" w:rsidR="000B4DC9" w:rsidRDefault="000B4DC9" w:rsidP="006E3286">
      <w:pPr>
        <w:ind w:left="360"/>
        <w:rPr>
          <w:rtl/>
        </w:rPr>
      </w:pPr>
      <w:r w:rsidRPr="002342EE">
        <w:rPr>
          <w:rtl/>
        </w:rPr>
        <w:t>עוד תבהיר הוועדה כי מדובר במכרז בו המציעים נדרשים להציע אחוז הנחה על תעריפי המקסימום שנקבעו במכרז וכי ברי לכל</w:t>
      </w:r>
      <w:r>
        <w:rPr>
          <w:rFonts w:hint="cs"/>
          <w:rtl/>
        </w:rPr>
        <w:t>,</w:t>
      </w:r>
      <w:r w:rsidRPr="002342EE">
        <w:rPr>
          <w:rtl/>
        </w:rPr>
        <w:t xml:space="preserve"> שכל מציע רשאי להציע אחוז הנחה כראות עיניו וכהבנתו, וככל שיש לו חשש שלא יצמח לו רווח בהתאם לציפיותיו, להציע אחוז הנחה בהתאם. </w:t>
      </w:r>
    </w:p>
    <w:p w14:paraId="7BDACCDC" w14:textId="77777777" w:rsidR="000B4DC9" w:rsidRDefault="000B4DC9">
      <w:pPr>
        <w:ind w:left="360"/>
        <w:rPr>
          <w:rtl/>
        </w:rPr>
      </w:pPr>
      <w:r>
        <w:rPr>
          <w:rFonts w:hint="cs"/>
          <w:rtl/>
        </w:rPr>
        <w:t>משהובהר כי התמחור של המחירים המקסימליי</w:t>
      </w:r>
      <w:r>
        <w:rPr>
          <w:rFonts w:hint="eastAsia"/>
          <w:rtl/>
        </w:rPr>
        <w:t>ם</w:t>
      </w:r>
      <w:r>
        <w:rPr>
          <w:rFonts w:hint="cs"/>
          <w:rtl/>
        </w:rPr>
        <w:t xml:space="preserve"> שערך המשרד אינו הפסדי, ובהתאם לפסיקה, מבהירה הוועדה כי ספק יכול לבחור להגיש הצעה </w:t>
      </w:r>
      <w:proofErr w:type="spellStart"/>
      <w:r>
        <w:rPr>
          <w:rFonts w:hint="cs"/>
          <w:rtl/>
        </w:rPr>
        <w:t>הפסדית</w:t>
      </w:r>
      <w:proofErr w:type="spellEnd"/>
      <w:r>
        <w:rPr>
          <w:rFonts w:hint="cs"/>
          <w:rtl/>
        </w:rPr>
        <w:t xml:space="preserve">, אך אינו יכול להגיש הצעה גרעונית. ככל והפונה חושב שאינו יכול להגיש הצעה שאינה גרעונית עליו לכלכל את צעדיו טרם הגשת ההצעה. יחד עם זאת, ספק אשר מגיש הצעה גם אם היא על פניו </w:t>
      </w:r>
      <w:proofErr w:type="spellStart"/>
      <w:r>
        <w:rPr>
          <w:rFonts w:hint="cs"/>
          <w:rtl/>
        </w:rPr>
        <w:t>הפסדית</w:t>
      </w:r>
      <w:proofErr w:type="spellEnd"/>
      <w:r>
        <w:rPr>
          <w:rFonts w:hint="cs"/>
          <w:rtl/>
        </w:rPr>
        <w:t xml:space="preserve"> אין זו עילה בלעדית לפסול את הצעתו. </w:t>
      </w:r>
    </w:p>
    <w:p w14:paraId="4574C5E5" w14:textId="77777777" w:rsidR="006E3286" w:rsidRDefault="006E3286">
      <w:pPr>
        <w:ind w:left="360"/>
        <w:rPr>
          <w:rtl/>
        </w:rPr>
      </w:pPr>
      <w:r>
        <w:rPr>
          <w:rFonts w:hint="cs"/>
          <w:rtl/>
        </w:rPr>
        <w:t>מצ"ב:</w:t>
      </w:r>
    </w:p>
    <w:p w14:paraId="11C3E4BA" w14:textId="5FE75C12" w:rsidR="006E3286" w:rsidRPr="002342EE" w:rsidRDefault="006E3286" w:rsidP="006F0772">
      <w:pPr>
        <w:ind w:left="360"/>
        <w:rPr>
          <w:rtl/>
        </w:rPr>
      </w:pPr>
      <w:r>
        <w:rPr>
          <w:rFonts w:hint="cs"/>
          <w:rtl/>
        </w:rPr>
        <w:t>חוות הדעת</w:t>
      </w:r>
      <w:r w:rsidR="006F0772">
        <w:rPr>
          <w:rFonts w:hint="cs"/>
          <w:rtl/>
        </w:rPr>
        <w:t xml:space="preserve"> שהתקבלו על ידי הפונים וחוות הדעת של המשרד.</w:t>
      </w:r>
    </w:p>
    <w:p w14:paraId="161A0630" w14:textId="77777777" w:rsidR="00371980" w:rsidRDefault="00371980" w:rsidP="006E3286">
      <w:pPr>
        <w:tabs>
          <w:tab w:val="center" w:pos="7259"/>
        </w:tabs>
        <w:jc w:val="left"/>
        <w:rPr>
          <w:rFonts w:ascii="David" w:hAnsi="David"/>
          <w:sz w:val="26"/>
          <w:szCs w:val="26"/>
        </w:rPr>
      </w:pPr>
      <w:r>
        <w:rPr>
          <w:rFonts w:ascii="David" w:hAnsi="David"/>
          <w:sz w:val="26"/>
          <w:szCs w:val="26"/>
        </w:rPr>
        <w:t> </w:t>
      </w:r>
    </w:p>
    <w:p w14:paraId="61702098" w14:textId="77777777" w:rsidR="00F91C22" w:rsidRDefault="00F91C22" w:rsidP="00F91C22">
      <w:pPr>
        <w:tabs>
          <w:tab w:val="center" w:pos="6330"/>
        </w:tabs>
        <w:jc w:val="center"/>
        <w:rPr>
          <w:rFonts w:ascii="David" w:hAnsi="David"/>
          <w:b/>
          <w:bCs/>
          <w:sz w:val="26"/>
          <w:szCs w:val="26"/>
          <w:rtl/>
        </w:rPr>
      </w:pPr>
    </w:p>
    <w:p w14:paraId="7465F2FB" w14:textId="74FB22BA" w:rsidR="00371980" w:rsidRPr="00FB080A" w:rsidRDefault="00371980" w:rsidP="00F91C22">
      <w:pPr>
        <w:tabs>
          <w:tab w:val="center" w:pos="6330"/>
        </w:tabs>
        <w:jc w:val="center"/>
        <w:rPr>
          <w:rFonts w:ascii="David" w:hAnsi="David"/>
          <w:b/>
          <w:bCs/>
          <w:sz w:val="26"/>
          <w:szCs w:val="26"/>
          <w:rtl/>
        </w:rPr>
      </w:pPr>
      <w:r w:rsidRPr="00FB080A">
        <w:rPr>
          <w:rFonts w:ascii="David" w:hAnsi="David"/>
          <w:b/>
          <w:bCs/>
          <w:sz w:val="26"/>
          <w:szCs w:val="26"/>
          <w:rtl/>
        </w:rPr>
        <w:t>בכבוד רב,</w:t>
      </w:r>
    </w:p>
    <w:p w14:paraId="06278EA8" w14:textId="58589A23" w:rsidR="00371980" w:rsidRPr="00FB080A" w:rsidRDefault="00371980" w:rsidP="00F91C22">
      <w:pPr>
        <w:tabs>
          <w:tab w:val="center" w:pos="6330"/>
        </w:tabs>
        <w:jc w:val="center"/>
        <w:rPr>
          <w:rFonts w:ascii="David" w:hAnsi="David"/>
          <w:b/>
          <w:bCs/>
          <w:sz w:val="26"/>
          <w:szCs w:val="26"/>
          <w:rtl/>
        </w:rPr>
      </w:pPr>
      <w:r w:rsidRPr="00FB080A">
        <w:rPr>
          <w:rFonts w:ascii="David" w:hAnsi="David"/>
          <w:b/>
          <w:bCs/>
          <w:sz w:val="26"/>
          <w:szCs w:val="26"/>
          <w:rtl/>
        </w:rPr>
        <w:t>אורנה מיטמיגר</w:t>
      </w:r>
    </w:p>
    <w:p w14:paraId="6A7D5D09" w14:textId="1421AB4A" w:rsidR="0040662B" w:rsidRPr="00FB080A" w:rsidRDefault="00371980" w:rsidP="00B31A3B">
      <w:pPr>
        <w:tabs>
          <w:tab w:val="center" w:pos="6330"/>
        </w:tabs>
        <w:jc w:val="center"/>
        <w:rPr>
          <w:rFonts w:ascii="David" w:hAnsi="David"/>
          <w:b/>
          <w:bCs/>
          <w:sz w:val="26"/>
          <w:szCs w:val="26"/>
          <w:rtl/>
        </w:rPr>
      </w:pPr>
      <w:r w:rsidRPr="00FB080A">
        <w:rPr>
          <w:rFonts w:ascii="David" w:hAnsi="David"/>
          <w:b/>
          <w:bCs/>
          <w:sz w:val="26"/>
          <w:szCs w:val="26"/>
          <w:rtl/>
        </w:rPr>
        <w:t>מנהלת אגף רכש מכרזים והתקשרויו</w:t>
      </w:r>
      <w:r w:rsidR="007B6D2D">
        <w:rPr>
          <w:rFonts w:ascii="David" w:hAnsi="David" w:hint="cs"/>
          <w:b/>
          <w:bCs/>
          <w:sz w:val="26"/>
          <w:szCs w:val="26"/>
          <w:rtl/>
        </w:rPr>
        <w:t>ת</w:t>
      </w:r>
    </w:p>
    <w:sectPr w:rsidR="0040662B" w:rsidRPr="00FB080A" w:rsidSect="007B6D2D">
      <w:pgSz w:w="11909" w:h="16834" w:code="9"/>
      <w:pgMar w:top="1440" w:right="1800" w:bottom="1440" w:left="1800" w:header="720" w:footer="3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801935" w14:textId="77777777" w:rsidR="00B83D37" w:rsidRDefault="00B83D37">
      <w:r>
        <w:separator/>
      </w:r>
    </w:p>
    <w:p w14:paraId="2153ED6F" w14:textId="77777777" w:rsidR="00B83D37" w:rsidRDefault="00B83D37"/>
  </w:endnote>
  <w:endnote w:type="continuationSeparator" w:id="0">
    <w:p w14:paraId="43FED841" w14:textId="77777777" w:rsidR="00B83D37" w:rsidRDefault="00B83D37">
      <w:r>
        <w:continuationSeparator/>
      </w:r>
    </w:p>
    <w:p w14:paraId="22BB202A" w14:textId="77777777" w:rsidR="00B83D37" w:rsidRDefault="00B83D3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ptos Display">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3AA590" w14:textId="77777777" w:rsidR="00B83D37" w:rsidRDefault="00B83D37">
      <w:r>
        <w:separator/>
      </w:r>
    </w:p>
    <w:p w14:paraId="05EE54AA" w14:textId="77777777" w:rsidR="00B83D37" w:rsidRDefault="00B83D37"/>
  </w:footnote>
  <w:footnote w:type="continuationSeparator" w:id="0">
    <w:p w14:paraId="6CD424CD" w14:textId="77777777" w:rsidR="00B83D37" w:rsidRDefault="00B83D37">
      <w:r>
        <w:continuationSeparator/>
      </w:r>
    </w:p>
    <w:p w14:paraId="2194B2FA" w14:textId="77777777" w:rsidR="00B83D37" w:rsidRDefault="00B83D3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8760B"/>
    <w:multiLevelType w:val="hybridMultilevel"/>
    <w:tmpl w:val="9A6CCE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090AD3"/>
    <w:multiLevelType w:val="multilevel"/>
    <w:tmpl w:val="A2426A5C"/>
    <w:styleLink w:val="a"/>
    <w:lvl w:ilvl="0">
      <w:start w:val="1"/>
      <w:numFmt w:val="hebrew1"/>
      <w:suff w:val="space"/>
      <w:lvlText w:val="%1."/>
      <w:lvlJc w:val="center"/>
      <w:pPr>
        <w:ind w:left="0" w:firstLine="227"/>
      </w:pPr>
      <w:rPr>
        <w:rFonts w:hint="default"/>
      </w:rPr>
    </w:lvl>
    <w:lvl w:ilvl="1">
      <w:start w:val="1"/>
      <w:numFmt w:val="decimal"/>
      <w:suff w:val="space"/>
      <w:lvlText w:val="%1.%2."/>
      <w:lvlJc w:val="left"/>
      <w:pPr>
        <w:ind w:left="0" w:firstLine="0"/>
      </w:pPr>
      <w:rPr>
        <w:rFonts w:hint="default"/>
      </w:rPr>
    </w:lvl>
    <w:lvl w:ilvl="2">
      <w:start w:val="1"/>
      <w:numFmt w:val="hebrew1"/>
      <w:suff w:val="space"/>
      <w:lvlText w:val="%1.%2.%3."/>
      <w:lvlJc w:val="left"/>
      <w:pPr>
        <w:ind w:left="0" w:firstLine="0"/>
      </w:pPr>
      <w:rPr>
        <w:rFonts w:hint="default"/>
      </w:rPr>
    </w:lvl>
    <w:lvl w:ilvl="3">
      <w:start w:val="1"/>
      <w:numFmt w:val="lowerRoman"/>
      <w:suff w:val="space"/>
      <w:lvlText w:val="%1.%2.%3.%4."/>
      <w:lvlJc w:val="left"/>
      <w:pPr>
        <w:ind w:left="0" w:firstLine="0"/>
      </w:pPr>
      <w:rPr>
        <w:rFonts w:hint="default"/>
      </w:rPr>
    </w:lvl>
    <w:lvl w:ilvl="4">
      <w:start w:val="1"/>
      <w:numFmt w:val="lowerLetter"/>
      <w:lvlText w:val="(%5)"/>
      <w:lvlJc w:val="left"/>
      <w:pPr>
        <w:tabs>
          <w:tab w:val="num" w:pos="1590"/>
        </w:tabs>
        <w:ind w:left="0" w:firstLine="0"/>
      </w:pPr>
      <w:rPr>
        <w:rFonts w:hint="default"/>
      </w:rPr>
    </w:lvl>
    <w:lvl w:ilvl="5">
      <w:start w:val="1"/>
      <w:numFmt w:val="lowerRoman"/>
      <w:lvlText w:val="(%6)"/>
      <w:lvlJc w:val="left"/>
      <w:pPr>
        <w:tabs>
          <w:tab w:val="num" w:pos="1590"/>
        </w:tabs>
        <w:ind w:left="0" w:firstLine="0"/>
      </w:pPr>
      <w:rPr>
        <w:rFonts w:hint="default"/>
      </w:rPr>
    </w:lvl>
    <w:lvl w:ilvl="6">
      <w:start w:val="1"/>
      <w:numFmt w:val="decimal"/>
      <w:lvlText w:val="%7."/>
      <w:lvlJc w:val="left"/>
      <w:pPr>
        <w:tabs>
          <w:tab w:val="num" w:pos="1590"/>
        </w:tabs>
        <w:ind w:left="0" w:firstLine="0"/>
      </w:pPr>
      <w:rPr>
        <w:rFonts w:hint="default"/>
      </w:rPr>
    </w:lvl>
    <w:lvl w:ilvl="7">
      <w:start w:val="1"/>
      <w:numFmt w:val="lowerLetter"/>
      <w:lvlText w:val="%8."/>
      <w:lvlJc w:val="left"/>
      <w:pPr>
        <w:tabs>
          <w:tab w:val="num" w:pos="1590"/>
        </w:tabs>
        <w:ind w:left="0" w:firstLine="0"/>
      </w:pPr>
      <w:rPr>
        <w:rFonts w:hint="default"/>
      </w:rPr>
    </w:lvl>
    <w:lvl w:ilvl="8">
      <w:start w:val="1"/>
      <w:numFmt w:val="lowerRoman"/>
      <w:lvlText w:val="%9."/>
      <w:lvlJc w:val="left"/>
      <w:pPr>
        <w:tabs>
          <w:tab w:val="num" w:pos="1590"/>
        </w:tabs>
        <w:ind w:left="0" w:firstLine="0"/>
      </w:pPr>
      <w:rPr>
        <w:rFonts w:hint="default"/>
      </w:rPr>
    </w:lvl>
  </w:abstractNum>
  <w:abstractNum w:abstractNumId="2" w15:restartNumberingAfterBreak="0">
    <w:nsid w:val="0B1730AA"/>
    <w:multiLevelType w:val="multilevel"/>
    <w:tmpl w:val="F520686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hebrew1"/>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D022988"/>
    <w:multiLevelType w:val="hybridMultilevel"/>
    <w:tmpl w:val="CDACDF4E"/>
    <w:lvl w:ilvl="0" w:tplc="72524904">
      <w:start w:val="1"/>
      <w:numFmt w:val="decimal"/>
      <w:pStyle w:val="a0"/>
      <w:lvlText w:val="(%1)"/>
      <w:lvlJc w:val="left"/>
      <w:pPr>
        <w:ind w:left="394" w:hanging="360"/>
      </w:pPr>
      <w:rPr>
        <w:rFonts w:hint="default"/>
      </w:r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4" w15:restartNumberingAfterBreak="0">
    <w:nsid w:val="31F40ADA"/>
    <w:multiLevelType w:val="hybridMultilevel"/>
    <w:tmpl w:val="0D0E223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4155A75"/>
    <w:multiLevelType w:val="hybridMultilevel"/>
    <w:tmpl w:val="C630D102"/>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FA02C98"/>
    <w:multiLevelType w:val="hybridMultilevel"/>
    <w:tmpl w:val="E0FE2F3A"/>
    <w:lvl w:ilvl="0" w:tplc="F5C64D16">
      <w:start w:val="1"/>
      <w:numFmt w:val="bullet"/>
      <w:lvlText w:val=""/>
      <w:lvlJc w:val="left"/>
      <w:pPr>
        <w:ind w:left="360" w:hanging="360"/>
      </w:pPr>
      <w:rPr>
        <w:rFonts w:ascii="Symbol" w:hAnsi="Symbol" w:hint="default"/>
        <w:lang w:bidi="he-IL"/>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41313186"/>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4574FFF"/>
    <w:multiLevelType w:val="hybridMultilevel"/>
    <w:tmpl w:val="621067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9B3722A"/>
    <w:multiLevelType w:val="hybridMultilevel"/>
    <w:tmpl w:val="7FF6A20E"/>
    <w:lvl w:ilvl="0" w:tplc="E8DE323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632D0953"/>
    <w:multiLevelType w:val="hybridMultilevel"/>
    <w:tmpl w:val="3F02ABF4"/>
    <w:lvl w:ilvl="0" w:tplc="3D684CE4">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2" w15:restartNumberingAfterBreak="0">
    <w:nsid w:val="78384A37"/>
    <w:multiLevelType w:val="multilevel"/>
    <w:tmpl w:val="CC36AF12"/>
    <w:lvl w:ilvl="0">
      <w:start w:val="1"/>
      <w:numFmt w:val="decimal"/>
      <w:pStyle w:val="a1"/>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num w:numId="1">
    <w:abstractNumId w:val="12"/>
  </w:num>
  <w:num w:numId="2">
    <w:abstractNumId w:val="6"/>
  </w:num>
  <w:num w:numId="3">
    <w:abstractNumId w:val="5"/>
  </w:num>
  <w:num w:numId="4">
    <w:abstractNumId w:val="1"/>
  </w:num>
  <w:num w:numId="5">
    <w:abstractNumId w:val="3"/>
  </w:num>
  <w:num w:numId="6">
    <w:abstractNumId w:val="2"/>
  </w:num>
  <w:num w:numId="7">
    <w:abstractNumId w:val="10"/>
  </w:num>
  <w:num w:numId="8">
    <w:abstractNumId w:val="9"/>
  </w:num>
  <w:num w:numId="9">
    <w:abstractNumId w:val="0"/>
  </w:num>
  <w:num w:numId="10">
    <w:abstractNumId w:val="7"/>
  </w:num>
  <w:num w:numId="11">
    <w:abstractNumId w:val="4"/>
  </w:num>
  <w:num w:numId="12">
    <w:abstractNumId w:val="8"/>
  </w:num>
  <w:num w:numId="13">
    <w:abstractNumId w:val="1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0258"/>
    <w:rsid w:val="000630B0"/>
    <w:rsid w:val="000739E5"/>
    <w:rsid w:val="0007713C"/>
    <w:rsid w:val="00084612"/>
    <w:rsid w:val="000972F2"/>
    <w:rsid w:val="000A2079"/>
    <w:rsid w:val="000B4DC9"/>
    <w:rsid w:val="000E1198"/>
    <w:rsid w:val="000F5D9F"/>
    <w:rsid w:val="00103CC4"/>
    <w:rsid w:val="001066B9"/>
    <w:rsid w:val="00112B74"/>
    <w:rsid w:val="00124874"/>
    <w:rsid w:val="001304D0"/>
    <w:rsid w:val="001357D3"/>
    <w:rsid w:val="00137D24"/>
    <w:rsid w:val="00144C67"/>
    <w:rsid w:val="00151771"/>
    <w:rsid w:val="00152085"/>
    <w:rsid w:val="0015507C"/>
    <w:rsid w:val="00156C2F"/>
    <w:rsid w:val="001A142A"/>
    <w:rsid w:val="001A400A"/>
    <w:rsid w:val="001B1B5A"/>
    <w:rsid w:val="001B2878"/>
    <w:rsid w:val="001B7BFE"/>
    <w:rsid w:val="001C59F0"/>
    <w:rsid w:val="001D4671"/>
    <w:rsid w:val="001E389B"/>
    <w:rsid w:val="001E7800"/>
    <w:rsid w:val="001F0045"/>
    <w:rsid w:val="001F615B"/>
    <w:rsid w:val="00203387"/>
    <w:rsid w:val="0021492B"/>
    <w:rsid w:val="00220E46"/>
    <w:rsid w:val="00226EFD"/>
    <w:rsid w:val="00247DDF"/>
    <w:rsid w:val="002571A2"/>
    <w:rsid w:val="00257D5F"/>
    <w:rsid w:val="00264B27"/>
    <w:rsid w:val="00266E21"/>
    <w:rsid w:val="0029515A"/>
    <w:rsid w:val="002A1D3B"/>
    <w:rsid w:val="002A21DF"/>
    <w:rsid w:val="002A2994"/>
    <w:rsid w:val="002B01DC"/>
    <w:rsid w:val="002D5E07"/>
    <w:rsid w:val="002E3A9D"/>
    <w:rsid w:val="0030028F"/>
    <w:rsid w:val="0030305B"/>
    <w:rsid w:val="0032054E"/>
    <w:rsid w:val="00353089"/>
    <w:rsid w:val="0035373A"/>
    <w:rsid w:val="00356897"/>
    <w:rsid w:val="003639E9"/>
    <w:rsid w:val="00364234"/>
    <w:rsid w:val="00371980"/>
    <w:rsid w:val="00380973"/>
    <w:rsid w:val="00381C08"/>
    <w:rsid w:val="00390258"/>
    <w:rsid w:val="00391451"/>
    <w:rsid w:val="00395208"/>
    <w:rsid w:val="00395291"/>
    <w:rsid w:val="003A011A"/>
    <w:rsid w:val="003A2F5A"/>
    <w:rsid w:val="003A5928"/>
    <w:rsid w:val="003B1C11"/>
    <w:rsid w:val="003B356B"/>
    <w:rsid w:val="003B5892"/>
    <w:rsid w:val="003C2BD5"/>
    <w:rsid w:val="003C5DBC"/>
    <w:rsid w:val="003D11CD"/>
    <w:rsid w:val="003E376D"/>
    <w:rsid w:val="003F000D"/>
    <w:rsid w:val="003F03C7"/>
    <w:rsid w:val="003F451C"/>
    <w:rsid w:val="0040662B"/>
    <w:rsid w:val="0042292A"/>
    <w:rsid w:val="004333B1"/>
    <w:rsid w:val="00440B54"/>
    <w:rsid w:val="00444B31"/>
    <w:rsid w:val="00450C9E"/>
    <w:rsid w:val="00454C84"/>
    <w:rsid w:val="00455428"/>
    <w:rsid w:val="0046351D"/>
    <w:rsid w:val="004719D0"/>
    <w:rsid w:val="00477FBA"/>
    <w:rsid w:val="00484DDD"/>
    <w:rsid w:val="004975FB"/>
    <w:rsid w:val="004C0E45"/>
    <w:rsid w:val="004D0820"/>
    <w:rsid w:val="00502F54"/>
    <w:rsid w:val="005050EF"/>
    <w:rsid w:val="00507A3D"/>
    <w:rsid w:val="00510064"/>
    <w:rsid w:val="0051529A"/>
    <w:rsid w:val="005168FB"/>
    <w:rsid w:val="00537415"/>
    <w:rsid w:val="00540564"/>
    <w:rsid w:val="00542512"/>
    <w:rsid w:val="00546CCD"/>
    <w:rsid w:val="00567E6F"/>
    <w:rsid w:val="00583F92"/>
    <w:rsid w:val="00596EE0"/>
    <w:rsid w:val="005A28B8"/>
    <w:rsid w:val="005A2BEA"/>
    <w:rsid w:val="005A2C9A"/>
    <w:rsid w:val="005B60C5"/>
    <w:rsid w:val="005B63C1"/>
    <w:rsid w:val="005C6376"/>
    <w:rsid w:val="005D7440"/>
    <w:rsid w:val="005E1484"/>
    <w:rsid w:val="005E1FAF"/>
    <w:rsid w:val="005E4250"/>
    <w:rsid w:val="005E5DDD"/>
    <w:rsid w:val="00602DC7"/>
    <w:rsid w:val="006038F5"/>
    <w:rsid w:val="0061361D"/>
    <w:rsid w:val="00627A44"/>
    <w:rsid w:val="00633B70"/>
    <w:rsid w:val="00640429"/>
    <w:rsid w:val="00644909"/>
    <w:rsid w:val="00656B4A"/>
    <w:rsid w:val="00661B53"/>
    <w:rsid w:val="0066503D"/>
    <w:rsid w:val="00673DA1"/>
    <w:rsid w:val="00673EF5"/>
    <w:rsid w:val="00674EFF"/>
    <w:rsid w:val="0067565F"/>
    <w:rsid w:val="00683F08"/>
    <w:rsid w:val="00686C44"/>
    <w:rsid w:val="006947B0"/>
    <w:rsid w:val="006A034A"/>
    <w:rsid w:val="006A04CD"/>
    <w:rsid w:val="006A45DD"/>
    <w:rsid w:val="006A4C61"/>
    <w:rsid w:val="006A7224"/>
    <w:rsid w:val="006B0168"/>
    <w:rsid w:val="006B0888"/>
    <w:rsid w:val="006B3849"/>
    <w:rsid w:val="006C0CD2"/>
    <w:rsid w:val="006D1211"/>
    <w:rsid w:val="006D174E"/>
    <w:rsid w:val="006D4FCD"/>
    <w:rsid w:val="006D54E8"/>
    <w:rsid w:val="006E257D"/>
    <w:rsid w:val="006E2FA0"/>
    <w:rsid w:val="006E3286"/>
    <w:rsid w:val="006F0772"/>
    <w:rsid w:val="006F6D85"/>
    <w:rsid w:val="00720BBB"/>
    <w:rsid w:val="00722C31"/>
    <w:rsid w:val="00736172"/>
    <w:rsid w:val="0074479B"/>
    <w:rsid w:val="00750D6C"/>
    <w:rsid w:val="00755CA8"/>
    <w:rsid w:val="00766A8E"/>
    <w:rsid w:val="00772557"/>
    <w:rsid w:val="00772828"/>
    <w:rsid w:val="00776BA1"/>
    <w:rsid w:val="00783CEF"/>
    <w:rsid w:val="007A27F5"/>
    <w:rsid w:val="007B6D2D"/>
    <w:rsid w:val="007C0D91"/>
    <w:rsid w:val="007C134D"/>
    <w:rsid w:val="007C454B"/>
    <w:rsid w:val="007D3699"/>
    <w:rsid w:val="007E239E"/>
    <w:rsid w:val="007E7803"/>
    <w:rsid w:val="007F4118"/>
    <w:rsid w:val="008150CA"/>
    <w:rsid w:val="008454B3"/>
    <w:rsid w:val="00851F75"/>
    <w:rsid w:val="008603C2"/>
    <w:rsid w:val="00861CBC"/>
    <w:rsid w:val="0086369A"/>
    <w:rsid w:val="00863DAF"/>
    <w:rsid w:val="00871FEC"/>
    <w:rsid w:val="008A2929"/>
    <w:rsid w:val="008A560D"/>
    <w:rsid w:val="008B2D1F"/>
    <w:rsid w:val="008C6DCF"/>
    <w:rsid w:val="008D6934"/>
    <w:rsid w:val="008D7B89"/>
    <w:rsid w:val="008E6E3F"/>
    <w:rsid w:val="008F4A9E"/>
    <w:rsid w:val="009120B2"/>
    <w:rsid w:val="00915029"/>
    <w:rsid w:val="00955AC4"/>
    <w:rsid w:val="0096336D"/>
    <w:rsid w:val="00972E08"/>
    <w:rsid w:val="00983727"/>
    <w:rsid w:val="00995047"/>
    <w:rsid w:val="009A1026"/>
    <w:rsid w:val="009B7418"/>
    <w:rsid w:val="009C061D"/>
    <w:rsid w:val="009C2404"/>
    <w:rsid w:val="009C3F50"/>
    <w:rsid w:val="009C79D8"/>
    <w:rsid w:val="009D04C9"/>
    <w:rsid w:val="009E6F72"/>
    <w:rsid w:val="009F6B38"/>
    <w:rsid w:val="00A03607"/>
    <w:rsid w:val="00A11B7C"/>
    <w:rsid w:val="00A167B6"/>
    <w:rsid w:val="00A2171C"/>
    <w:rsid w:val="00A23B4F"/>
    <w:rsid w:val="00A255E4"/>
    <w:rsid w:val="00A3345B"/>
    <w:rsid w:val="00A378F0"/>
    <w:rsid w:val="00A62A2D"/>
    <w:rsid w:val="00A70C9C"/>
    <w:rsid w:val="00A72FBE"/>
    <w:rsid w:val="00A84F96"/>
    <w:rsid w:val="00AB0D51"/>
    <w:rsid w:val="00AB31D6"/>
    <w:rsid w:val="00AC0A5B"/>
    <w:rsid w:val="00AD6533"/>
    <w:rsid w:val="00B03C18"/>
    <w:rsid w:val="00B145DF"/>
    <w:rsid w:val="00B1492F"/>
    <w:rsid w:val="00B1505B"/>
    <w:rsid w:val="00B16434"/>
    <w:rsid w:val="00B25D96"/>
    <w:rsid w:val="00B31A3B"/>
    <w:rsid w:val="00B34DD5"/>
    <w:rsid w:val="00B43A07"/>
    <w:rsid w:val="00B50E50"/>
    <w:rsid w:val="00B55378"/>
    <w:rsid w:val="00B67D70"/>
    <w:rsid w:val="00B83D37"/>
    <w:rsid w:val="00B937C7"/>
    <w:rsid w:val="00BA5AC1"/>
    <w:rsid w:val="00BB0B99"/>
    <w:rsid w:val="00BB1C31"/>
    <w:rsid w:val="00BB3AE8"/>
    <w:rsid w:val="00BE3C33"/>
    <w:rsid w:val="00BE5F10"/>
    <w:rsid w:val="00C0464F"/>
    <w:rsid w:val="00C2257C"/>
    <w:rsid w:val="00C32C8E"/>
    <w:rsid w:val="00C67B67"/>
    <w:rsid w:val="00C721AD"/>
    <w:rsid w:val="00C72455"/>
    <w:rsid w:val="00C84D66"/>
    <w:rsid w:val="00C954F4"/>
    <w:rsid w:val="00C9692E"/>
    <w:rsid w:val="00CB086C"/>
    <w:rsid w:val="00CE1BCA"/>
    <w:rsid w:val="00CE5DEE"/>
    <w:rsid w:val="00D00DCC"/>
    <w:rsid w:val="00D0244A"/>
    <w:rsid w:val="00D05D64"/>
    <w:rsid w:val="00D20A87"/>
    <w:rsid w:val="00D328B7"/>
    <w:rsid w:val="00D423DD"/>
    <w:rsid w:val="00D719DC"/>
    <w:rsid w:val="00D733F9"/>
    <w:rsid w:val="00D74226"/>
    <w:rsid w:val="00D86941"/>
    <w:rsid w:val="00D972F5"/>
    <w:rsid w:val="00DB3CBF"/>
    <w:rsid w:val="00DB3D91"/>
    <w:rsid w:val="00DB7B09"/>
    <w:rsid w:val="00DC1189"/>
    <w:rsid w:val="00E0472D"/>
    <w:rsid w:val="00E10210"/>
    <w:rsid w:val="00E1065E"/>
    <w:rsid w:val="00E17A63"/>
    <w:rsid w:val="00E2769D"/>
    <w:rsid w:val="00E33CFA"/>
    <w:rsid w:val="00E55BC3"/>
    <w:rsid w:val="00E55D20"/>
    <w:rsid w:val="00E61D06"/>
    <w:rsid w:val="00E71E99"/>
    <w:rsid w:val="00E73EE1"/>
    <w:rsid w:val="00E74BB1"/>
    <w:rsid w:val="00E8076A"/>
    <w:rsid w:val="00E837F2"/>
    <w:rsid w:val="00E92790"/>
    <w:rsid w:val="00EA6ADA"/>
    <w:rsid w:val="00EB499D"/>
    <w:rsid w:val="00EB6CAD"/>
    <w:rsid w:val="00EC5321"/>
    <w:rsid w:val="00EE3E53"/>
    <w:rsid w:val="00EF5D05"/>
    <w:rsid w:val="00F00172"/>
    <w:rsid w:val="00F034A0"/>
    <w:rsid w:val="00F042E5"/>
    <w:rsid w:val="00F106CB"/>
    <w:rsid w:val="00F32778"/>
    <w:rsid w:val="00F373AA"/>
    <w:rsid w:val="00F37EAB"/>
    <w:rsid w:val="00F400B9"/>
    <w:rsid w:val="00F47A5C"/>
    <w:rsid w:val="00F8664B"/>
    <w:rsid w:val="00F91C22"/>
    <w:rsid w:val="00F979C5"/>
    <w:rsid w:val="00FB080A"/>
    <w:rsid w:val="00FB1D7C"/>
    <w:rsid w:val="00FB55A5"/>
    <w:rsid w:val="00FC1795"/>
    <w:rsid w:val="00FC3A7C"/>
    <w:rsid w:val="00FC65D1"/>
    <w:rsid w:val="00FD3CD8"/>
    <w:rsid w:val="00FE6A1C"/>
    <w:rsid w:val="00FF7A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6DEFA111"/>
  <w15:chartTrackingRefBased/>
  <w15:docId w15:val="{C8086DC5-88AD-48F8-9C97-3C8660F72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Body Text Indent 2"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2"/>
    <w:next w:val="a2"/>
    <w:link w:val="11"/>
    <w:qFormat/>
    <w:pPr>
      <w:keepNext/>
      <w:spacing w:before="240" w:after="60"/>
      <w:ind w:right="708"/>
      <w:outlineLvl w:val="0"/>
    </w:pPr>
    <w:rPr>
      <w:rFonts w:ascii="Arial" w:hAnsi="Arial"/>
      <w:b/>
      <w:bCs/>
      <w:kern w:val="28"/>
      <w:sz w:val="28"/>
      <w:szCs w:val="28"/>
    </w:rPr>
  </w:style>
  <w:style w:type="paragraph" w:styleId="20">
    <w:name w:val="heading 2"/>
    <w:basedOn w:val="a2"/>
    <w:next w:val="a2"/>
    <w:link w:val="21"/>
    <w:qFormat/>
    <w:pPr>
      <w:keepNext/>
      <w:spacing w:before="240" w:after="60"/>
      <w:ind w:right="708"/>
      <w:outlineLvl w:val="1"/>
    </w:pPr>
    <w:rPr>
      <w:rFonts w:ascii="Arial" w:hAnsi="Arial"/>
      <w:b/>
      <w:bCs/>
      <w:i/>
      <w:u w:val="single"/>
    </w:rPr>
  </w:style>
  <w:style w:type="paragraph" w:styleId="30">
    <w:name w:val="heading 3"/>
    <w:basedOn w:val="a2"/>
    <w:next w:val="a2"/>
    <w:qFormat/>
    <w:pPr>
      <w:keepNext/>
      <w:spacing w:before="240" w:after="60"/>
      <w:ind w:right="708"/>
      <w:outlineLvl w:val="2"/>
    </w:pPr>
  </w:style>
  <w:style w:type="paragraph" w:styleId="4">
    <w:name w:val="heading 4"/>
    <w:basedOn w:val="a2"/>
    <w:next w:val="a2"/>
    <w:qFormat/>
    <w:pPr>
      <w:keepNext/>
      <w:spacing w:before="240" w:after="60"/>
      <w:ind w:right="708"/>
      <w:outlineLvl w:val="3"/>
    </w:pPr>
  </w:style>
  <w:style w:type="paragraph" w:styleId="5">
    <w:name w:val="heading 5"/>
    <w:basedOn w:val="a2"/>
    <w:next w:val="a2"/>
    <w:qFormat/>
    <w:pPr>
      <w:spacing w:before="240" w:after="60"/>
      <w:ind w:right="708"/>
      <w:outlineLvl w:val="4"/>
    </w:pPr>
    <w:rPr>
      <w:rFonts w:ascii="Arial" w:hAnsi="Arial"/>
      <w:sz w:val="22"/>
      <w:szCs w:val="22"/>
    </w:rPr>
  </w:style>
  <w:style w:type="paragraph" w:styleId="6">
    <w:name w:val="heading 6"/>
    <w:basedOn w:val="a2"/>
    <w:next w:val="a2"/>
    <w:qFormat/>
    <w:pPr>
      <w:spacing w:before="240" w:after="60"/>
      <w:ind w:right="708"/>
      <w:outlineLvl w:val="5"/>
    </w:pPr>
    <w:rPr>
      <w:rFonts w:ascii="Arial" w:hAnsi="Arial"/>
      <w:i/>
      <w:iCs/>
      <w:sz w:val="22"/>
      <w:szCs w:val="22"/>
    </w:rPr>
  </w:style>
  <w:style w:type="paragraph" w:styleId="7">
    <w:name w:val="heading 7"/>
    <w:basedOn w:val="a2"/>
    <w:next w:val="a2"/>
    <w:qFormat/>
    <w:pPr>
      <w:spacing w:before="240" w:after="60"/>
      <w:ind w:right="708"/>
      <w:outlineLvl w:val="6"/>
    </w:pPr>
    <w:rPr>
      <w:rFonts w:ascii="Arial" w:hAnsi="Arial"/>
      <w:sz w:val="20"/>
      <w:szCs w:val="20"/>
    </w:rPr>
  </w:style>
  <w:style w:type="paragraph" w:styleId="8">
    <w:name w:val="heading 8"/>
    <w:basedOn w:val="a2"/>
    <w:next w:val="a2"/>
    <w:qFormat/>
    <w:pPr>
      <w:spacing w:before="240" w:after="60"/>
      <w:ind w:right="708"/>
      <w:outlineLvl w:val="7"/>
    </w:pPr>
    <w:rPr>
      <w:rFonts w:ascii="Arial" w:hAnsi="Arial"/>
      <w:i/>
      <w:iCs/>
      <w:sz w:val="20"/>
      <w:szCs w:val="20"/>
    </w:rPr>
  </w:style>
  <w:style w:type="paragraph" w:styleId="9">
    <w:name w:val="heading 9"/>
    <w:basedOn w:val="a2"/>
    <w:next w:val="a2"/>
    <w:link w:val="90"/>
    <w:qFormat/>
    <w:pPr>
      <w:spacing w:before="240" w:after="60"/>
      <w:ind w:right="708"/>
      <w:outlineLvl w:val="8"/>
    </w:pPr>
    <w:rPr>
      <w:rFonts w:ascii="Arial" w:hAnsi="Arial"/>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pPr>
      <w:tabs>
        <w:tab w:val="center" w:pos="4153"/>
        <w:tab w:val="right" w:pos="8306"/>
      </w:tabs>
      <w:jc w:val="left"/>
    </w:pPr>
  </w:style>
  <w:style w:type="paragraph" w:styleId="a8">
    <w:name w:val="footer"/>
    <w:basedOn w:val="a2"/>
    <w:pPr>
      <w:tabs>
        <w:tab w:val="center" w:pos="4153"/>
        <w:tab w:val="right" w:pos="8306"/>
      </w:tabs>
      <w:jc w:val="left"/>
    </w:pPr>
  </w:style>
  <w:style w:type="character" w:styleId="a9">
    <w:name w:val="page number"/>
    <w:basedOn w:val="a3"/>
  </w:style>
  <w:style w:type="paragraph" w:styleId="aa">
    <w:name w:val="Body Text Indent"/>
    <w:basedOn w:val="a2"/>
    <w:pPr>
      <w:spacing w:before="240"/>
      <w:ind w:left="1134"/>
    </w:pPr>
    <w:rPr>
      <w:sz w:val="22"/>
    </w:rPr>
  </w:style>
  <w:style w:type="paragraph" w:styleId="ab">
    <w:name w:val="Balloon Text"/>
    <w:basedOn w:val="a2"/>
    <w:semiHidden/>
    <w:rPr>
      <w:rFonts w:ascii="Tahoma" w:hAnsi="Tahoma" w:cs="Tahoma"/>
      <w:sz w:val="16"/>
      <w:szCs w:val="16"/>
    </w:rPr>
  </w:style>
  <w:style w:type="paragraph" w:styleId="31">
    <w:name w:val="Body Text 3"/>
    <w:basedOn w:val="a2"/>
    <w:pPr>
      <w:bidi w:val="0"/>
      <w:spacing w:line="240" w:lineRule="auto"/>
      <w:jc w:val="right"/>
    </w:pPr>
    <w:rPr>
      <w:rFonts w:ascii="MS Sans Serif" w:hAnsi="MS Sans Serif"/>
    </w:rPr>
  </w:style>
  <w:style w:type="paragraph" w:styleId="22">
    <w:name w:val="Body Text Indent 2"/>
    <w:basedOn w:val="a2"/>
    <w:link w:val="23"/>
    <w:uiPriority w:val="99"/>
    <w:pPr>
      <w:spacing w:line="300" w:lineRule="atLeast"/>
      <w:ind w:left="2268"/>
    </w:pPr>
  </w:style>
  <w:style w:type="paragraph" w:styleId="32">
    <w:name w:val="Body Text Indent 3"/>
    <w:basedOn w:val="a2"/>
    <w:pPr>
      <w:spacing w:line="300" w:lineRule="atLeast"/>
      <w:ind w:left="1417"/>
    </w:pPr>
  </w:style>
  <w:style w:type="paragraph" w:styleId="ac">
    <w:name w:val="Body Text"/>
    <w:basedOn w:val="a2"/>
    <w:pPr>
      <w:spacing w:line="240" w:lineRule="auto"/>
    </w:pPr>
    <w:rPr>
      <w:sz w:val="22"/>
      <w:szCs w:val="22"/>
    </w:rPr>
  </w:style>
  <w:style w:type="paragraph" w:customStyle="1" w:styleId="ad">
    <w:name w:val="נורמל"/>
    <w:basedOn w:val="NormalWeb"/>
    <w:rPr>
      <w:rFonts w:cs="David"/>
    </w:rPr>
  </w:style>
  <w:style w:type="paragraph" w:styleId="NormalWeb">
    <w:name w:val="Normal (Web)"/>
    <w:basedOn w:val="a2"/>
    <w:uiPriority w:val="99"/>
    <w:rPr>
      <w:rFonts w:cs="Times New Roman"/>
    </w:rPr>
  </w:style>
  <w:style w:type="paragraph" w:styleId="24">
    <w:name w:val="Body Text 2"/>
    <w:basedOn w:val="a2"/>
    <w:pPr>
      <w:widowControl w:val="0"/>
      <w:spacing w:line="240" w:lineRule="auto"/>
      <w:jc w:val="left"/>
    </w:pPr>
    <w:rPr>
      <w:sz w:val="22"/>
      <w:szCs w:val="22"/>
    </w:rPr>
  </w:style>
  <w:style w:type="paragraph" w:styleId="ae">
    <w:name w:val="caption"/>
    <w:basedOn w:val="a2"/>
    <w:next w:val="a2"/>
    <w:qFormat/>
    <w:pPr>
      <w:spacing w:line="280" w:lineRule="exact"/>
      <w:ind w:left="1418"/>
    </w:pPr>
    <w:rPr>
      <w:b/>
      <w:bCs/>
      <w:u w:val="single"/>
    </w:rPr>
  </w:style>
  <w:style w:type="paragraph" w:styleId="af">
    <w:name w:val="Title"/>
    <w:aliases w:val="תואר"/>
    <w:basedOn w:val="a2"/>
    <w:qFormat/>
    <w:pPr>
      <w:spacing w:line="300" w:lineRule="atLeast"/>
      <w:jc w:val="center"/>
    </w:pPr>
    <w:rPr>
      <w:b/>
      <w:bCs/>
      <w:sz w:val="22"/>
      <w:szCs w:val="32"/>
      <w:lang w:eastAsia="en-US"/>
    </w:rPr>
  </w:style>
  <w:style w:type="paragraph" w:customStyle="1" w:styleId="a1">
    <w:name w:val="מדורג"/>
    <w:basedOn w:val="a2"/>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f0">
    <w:name w:val="Block Text"/>
    <w:basedOn w:val="a2"/>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0">
    <w:name w:val="List Bullet"/>
    <w:basedOn w:val="a2"/>
    <w:autoRedefine/>
    <w:pPr>
      <w:numPr>
        <w:numId w:val="5"/>
      </w:numPr>
    </w:pPr>
  </w:style>
  <w:style w:type="table" w:styleId="af1">
    <w:name w:val="Table Grid"/>
    <w:basedOn w:val="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5">
    <w:name w:val="2"/>
    <w:basedOn w:val="a2"/>
    <w:next w:val="a8"/>
    <w:pPr>
      <w:tabs>
        <w:tab w:val="center" w:pos="4153"/>
        <w:tab w:val="right" w:pos="8306"/>
      </w:tabs>
      <w:spacing w:line="300" w:lineRule="atLeast"/>
    </w:pPr>
    <w:rPr>
      <w:sz w:val="26"/>
      <w:szCs w:val="26"/>
    </w:rPr>
  </w:style>
  <w:style w:type="paragraph" w:customStyle="1" w:styleId="12">
    <w:name w:val="1"/>
    <w:basedOn w:val="a2"/>
    <w:next w:val="32"/>
    <w:pPr>
      <w:spacing w:line="300" w:lineRule="atLeast"/>
      <w:ind w:left="1417"/>
    </w:pPr>
  </w:style>
  <w:style w:type="character" w:customStyle="1" w:styleId="11">
    <w:name w:val="כותרת 1 תו"/>
    <w:link w:val="10"/>
    <w:rPr>
      <w:rFonts w:ascii="Arial" w:hAnsi="Arial" w:cs="David"/>
      <w:b/>
      <w:bCs/>
      <w:kern w:val="28"/>
      <w:sz w:val="28"/>
      <w:szCs w:val="28"/>
      <w:lang w:val="en-US" w:eastAsia="he-IL" w:bidi="he-IL"/>
    </w:rPr>
  </w:style>
  <w:style w:type="table" w:customStyle="1" w:styleId="LightList1">
    <w:name w:val="Light List1"/>
    <w:basedOn w:val="a4"/>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2"/>
    <w:pPr>
      <w:spacing w:line="240" w:lineRule="auto"/>
      <w:ind w:left="5760"/>
      <w:jc w:val="left"/>
    </w:pPr>
    <w:rPr>
      <w:rFonts w:cs="FrankRuehl"/>
      <w:sz w:val="20"/>
      <w:szCs w:val="26"/>
    </w:rPr>
  </w:style>
  <w:style w:type="paragraph" w:customStyle="1" w:styleId="Reference">
    <w:name w:val="Reference"/>
    <w:basedOn w:val="a2"/>
    <w:pPr>
      <w:tabs>
        <w:tab w:val="left" w:pos="1474"/>
      </w:tabs>
      <w:spacing w:line="240" w:lineRule="auto"/>
      <w:ind w:left="1650" w:hanging="992"/>
      <w:jc w:val="left"/>
    </w:pPr>
    <w:rPr>
      <w:rFonts w:cs="FrankRuehl"/>
      <w:sz w:val="20"/>
      <w:szCs w:val="26"/>
    </w:rPr>
  </w:style>
  <w:style w:type="paragraph" w:customStyle="1" w:styleId="Sign">
    <w:name w:val="Sign"/>
    <w:basedOn w:val="a2"/>
    <w:pPr>
      <w:spacing w:line="240" w:lineRule="auto"/>
      <w:ind w:left="3493"/>
      <w:jc w:val="center"/>
    </w:pPr>
    <w:rPr>
      <w:rFonts w:cs="FrankRuehl"/>
      <w:sz w:val="20"/>
      <w:szCs w:val="26"/>
    </w:rPr>
  </w:style>
  <w:style w:type="paragraph" w:customStyle="1" w:styleId="About">
    <w:name w:val="About"/>
    <w:basedOn w:val="a2"/>
    <w:pPr>
      <w:spacing w:line="240" w:lineRule="auto"/>
      <w:ind w:left="658" w:hanging="658"/>
      <w:jc w:val="left"/>
    </w:pPr>
    <w:rPr>
      <w:rFonts w:cs="FrankRuehl"/>
      <w:sz w:val="20"/>
      <w:szCs w:val="26"/>
    </w:rPr>
  </w:style>
  <w:style w:type="paragraph" w:styleId="af2">
    <w:name w:val="List Paragraph"/>
    <w:aliases w:val="LP1,פיסקת bullets,פיסקת רשימה11,List Paragraph1,lp1,FooterText,numbered,Paragraphe de liste1,מכרזים - טקסט סעיפים,נספח 2 מתוקן,x.x.x.x"/>
    <w:basedOn w:val="a2"/>
    <w:link w:val="af3"/>
    <w:uiPriority w:val="34"/>
    <w:qFormat/>
    <w:pPr>
      <w:ind w:left="720"/>
    </w:pPr>
  </w:style>
  <w:style w:type="character" w:customStyle="1" w:styleId="a7">
    <w:name w:val="כותרת עליונה תו"/>
    <w:link w:val="a6"/>
    <w:rPr>
      <w:rFonts w:cs="David"/>
      <w:sz w:val="24"/>
      <w:szCs w:val="24"/>
      <w:lang w:eastAsia="he-IL"/>
    </w:rPr>
  </w:style>
  <w:style w:type="paragraph" w:customStyle="1" w:styleId="2">
    <w:name w:val="מיספור2"/>
    <w:basedOn w:val="a2"/>
    <w:next w:val="a2"/>
    <w:pPr>
      <w:numPr>
        <w:ilvl w:val="1"/>
        <w:numId w:val="3"/>
      </w:numPr>
      <w:overflowPunct/>
      <w:autoSpaceDE/>
      <w:autoSpaceDN/>
      <w:adjustRightInd/>
      <w:spacing w:before="120" w:after="60" w:line="240" w:lineRule="auto"/>
      <w:ind w:right="0"/>
      <w:textAlignment w:val="auto"/>
    </w:pPr>
    <w:rPr>
      <w:sz w:val="20"/>
    </w:rPr>
  </w:style>
  <w:style w:type="paragraph" w:customStyle="1" w:styleId="1">
    <w:name w:val="מספור1"/>
    <w:basedOn w:val="a2"/>
    <w:next w:val="a2"/>
    <w:link w:val="13"/>
    <w:autoRedefine/>
    <w:pPr>
      <w:numPr>
        <w:numId w:val="3"/>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Pr>
      <w:color w:val="000000"/>
      <w:szCs w:val="24"/>
      <w:lang w:val="x-none" w:eastAsia="x-none"/>
    </w:rPr>
  </w:style>
  <w:style w:type="paragraph" w:customStyle="1" w:styleId="3">
    <w:name w:val="מספור3"/>
    <w:basedOn w:val="a2"/>
    <w:next w:val="a2"/>
    <w:pPr>
      <w:numPr>
        <w:ilvl w:val="2"/>
        <w:numId w:val="3"/>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2"/>
    <w:uiPriority w:val="99"/>
    <w:pPr>
      <w:overflowPunct/>
      <w:spacing w:line="288" w:lineRule="auto"/>
      <w:jc w:val="left"/>
      <w:textAlignment w:val="center"/>
    </w:pPr>
    <w:rPr>
      <w:rFonts w:cs="Times New Roman"/>
      <w:color w:val="000000"/>
      <w:lang w:eastAsia="en-US" w:bidi="ar-YE"/>
    </w:rPr>
  </w:style>
  <w:style w:type="character" w:customStyle="1" w:styleId="cf01">
    <w:name w:val="cf01"/>
    <w:rPr>
      <w:rFonts w:ascii="Tahoma" w:hAnsi="Tahoma" w:cs="Tahoma" w:hint="default"/>
      <w:sz w:val="18"/>
      <w:szCs w:val="18"/>
    </w:rPr>
  </w:style>
  <w:style w:type="character" w:customStyle="1" w:styleId="21">
    <w:name w:val="כותרת 2 תו"/>
    <w:link w:val="20"/>
    <w:rPr>
      <w:rFonts w:ascii="Arial" w:hAnsi="Arial" w:cs="David"/>
      <w:b/>
      <w:bCs/>
      <w:i/>
      <w:sz w:val="24"/>
      <w:szCs w:val="24"/>
      <w:u w:val="single"/>
      <w:lang w:eastAsia="he-IL"/>
    </w:rPr>
  </w:style>
  <w:style w:type="character" w:styleId="af4">
    <w:name w:val="annotation reference"/>
    <w:rPr>
      <w:sz w:val="16"/>
      <w:szCs w:val="16"/>
    </w:rPr>
  </w:style>
  <w:style w:type="paragraph" w:styleId="af5">
    <w:name w:val="annotation text"/>
    <w:basedOn w:val="a2"/>
    <w:link w:val="af6"/>
    <w:rPr>
      <w:sz w:val="20"/>
      <w:szCs w:val="20"/>
    </w:rPr>
  </w:style>
  <w:style w:type="character" w:customStyle="1" w:styleId="af6">
    <w:name w:val="טקסט הערה תו"/>
    <w:link w:val="af5"/>
    <w:rPr>
      <w:rFonts w:cs="David"/>
      <w:lang w:eastAsia="he-IL"/>
    </w:rPr>
  </w:style>
  <w:style w:type="paragraph" w:styleId="af7">
    <w:name w:val="annotation subject"/>
    <w:basedOn w:val="af5"/>
    <w:next w:val="af5"/>
    <w:link w:val="af8"/>
    <w:rPr>
      <w:b/>
      <w:bCs/>
    </w:rPr>
  </w:style>
  <w:style w:type="character" w:customStyle="1" w:styleId="af8">
    <w:name w:val="נושא הערה תו"/>
    <w:link w:val="af7"/>
    <w:rPr>
      <w:rFonts w:cs="David"/>
      <w:b/>
      <w:bCs/>
      <w:lang w:eastAsia="he-IL"/>
    </w:rPr>
  </w:style>
  <w:style w:type="paragraph" w:styleId="af9">
    <w:name w:val="Revision"/>
    <w:hidden/>
    <w:uiPriority w:val="99"/>
    <w:semiHidden/>
    <w:rPr>
      <w:rFonts w:cs="David"/>
      <w:sz w:val="24"/>
      <w:szCs w:val="24"/>
      <w:lang w:eastAsia="he-IL"/>
    </w:rPr>
  </w:style>
  <w:style w:type="character" w:customStyle="1" w:styleId="normaltextrun">
    <w:name w:val="normaltextrun"/>
    <w:basedOn w:val="a3"/>
  </w:style>
  <w:style w:type="paragraph" w:customStyle="1" w:styleId="xmsonormal">
    <w:name w:val="x_msonormal"/>
    <w:basedOn w:val="a2"/>
    <w:pPr>
      <w:overflowPunct/>
      <w:autoSpaceDE/>
      <w:autoSpaceDN/>
      <w:bidi w:val="0"/>
      <w:adjustRightInd/>
      <w:spacing w:line="240" w:lineRule="auto"/>
      <w:jc w:val="left"/>
      <w:textAlignment w:val="auto"/>
    </w:pPr>
    <w:rPr>
      <w:rFonts w:eastAsia="Calibri" w:cs="Times New Roman"/>
      <w:lang w:eastAsia="en-US"/>
    </w:rPr>
  </w:style>
  <w:style w:type="character" w:customStyle="1" w:styleId="90">
    <w:name w:val="כותרת 9 תו"/>
    <w:link w:val="9"/>
    <w:rPr>
      <w:rFonts w:ascii="Arial" w:hAnsi="Arial" w:cs="David"/>
      <w:i/>
      <w:iCs/>
      <w:sz w:val="18"/>
      <w:szCs w:val="18"/>
      <w:lang w:eastAsia="he-IL"/>
    </w:rPr>
  </w:style>
  <w:style w:type="numbering" w:customStyle="1" w:styleId="a">
    <w:name w:val="כותרות ממוספרות"/>
    <w:uiPriority w:val="99"/>
    <w:pPr>
      <w:numPr>
        <w:numId w:val="4"/>
      </w:numPr>
    </w:pPr>
  </w:style>
  <w:style w:type="character" w:customStyle="1" w:styleId="af3">
    <w:name w:val="פיסקת רשימה תו"/>
    <w:aliases w:val="LP1 תו,פיסקת bullets תו,פיסקת רשימה11 תו,List Paragraph1 תו,lp1 תו,FooterText תו,numbered תו,Paragraphe de liste1 תו,מכרזים - טקסט סעיפים תו,נספח 2 מתוקן תו,x.x.x.x תו"/>
    <w:link w:val="af2"/>
    <w:uiPriority w:val="34"/>
    <w:rPr>
      <w:rFonts w:cs="David"/>
      <w:sz w:val="24"/>
      <w:szCs w:val="24"/>
      <w:lang w:eastAsia="he-IL"/>
    </w:rPr>
  </w:style>
  <w:style w:type="paragraph" w:customStyle="1" w:styleId="pf0">
    <w:name w:val="pf0"/>
    <w:basedOn w:val="a2"/>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character" w:customStyle="1" w:styleId="23">
    <w:name w:val="כניסה בגוף טקסט 2 תו"/>
    <w:link w:val="22"/>
    <w:uiPriority w:val="99"/>
    <w:rPr>
      <w:rFonts w:cs="David"/>
      <w:sz w:val="24"/>
      <w:szCs w:val="24"/>
      <w:lang w:eastAsia="he-IL"/>
    </w:rPr>
  </w:style>
  <w:style w:type="character" w:customStyle="1" w:styleId="UnresolvedMention1">
    <w:name w:val="Unresolved Mention1"/>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75133">
      <w:bodyDiv w:val="1"/>
      <w:marLeft w:val="0"/>
      <w:marRight w:val="0"/>
      <w:marTop w:val="0"/>
      <w:marBottom w:val="0"/>
      <w:divBdr>
        <w:top w:val="none" w:sz="0" w:space="0" w:color="auto"/>
        <w:left w:val="none" w:sz="0" w:space="0" w:color="auto"/>
        <w:bottom w:val="none" w:sz="0" w:space="0" w:color="auto"/>
        <w:right w:val="none" w:sz="0" w:space="0" w:color="auto"/>
      </w:divBdr>
    </w:div>
    <w:div w:id="43067384">
      <w:bodyDiv w:val="1"/>
      <w:marLeft w:val="0"/>
      <w:marRight w:val="0"/>
      <w:marTop w:val="0"/>
      <w:marBottom w:val="0"/>
      <w:divBdr>
        <w:top w:val="none" w:sz="0" w:space="0" w:color="auto"/>
        <w:left w:val="none" w:sz="0" w:space="0" w:color="auto"/>
        <w:bottom w:val="none" w:sz="0" w:space="0" w:color="auto"/>
        <w:right w:val="none" w:sz="0" w:space="0" w:color="auto"/>
      </w:divBdr>
    </w:div>
    <w:div w:id="105004084">
      <w:bodyDiv w:val="1"/>
      <w:marLeft w:val="0"/>
      <w:marRight w:val="0"/>
      <w:marTop w:val="0"/>
      <w:marBottom w:val="0"/>
      <w:divBdr>
        <w:top w:val="none" w:sz="0" w:space="0" w:color="auto"/>
        <w:left w:val="none" w:sz="0" w:space="0" w:color="auto"/>
        <w:bottom w:val="none" w:sz="0" w:space="0" w:color="auto"/>
        <w:right w:val="none" w:sz="0" w:space="0" w:color="auto"/>
      </w:divBdr>
    </w:div>
    <w:div w:id="111484827">
      <w:bodyDiv w:val="1"/>
      <w:marLeft w:val="0"/>
      <w:marRight w:val="0"/>
      <w:marTop w:val="0"/>
      <w:marBottom w:val="0"/>
      <w:divBdr>
        <w:top w:val="none" w:sz="0" w:space="0" w:color="auto"/>
        <w:left w:val="none" w:sz="0" w:space="0" w:color="auto"/>
        <w:bottom w:val="none" w:sz="0" w:space="0" w:color="auto"/>
        <w:right w:val="none" w:sz="0" w:space="0" w:color="auto"/>
      </w:divBdr>
    </w:div>
    <w:div w:id="130177199">
      <w:bodyDiv w:val="1"/>
      <w:marLeft w:val="0"/>
      <w:marRight w:val="0"/>
      <w:marTop w:val="0"/>
      <w:marBottom w:val="0"/>
      <w:divBdr>
        <w:top w:val="none" w:sz="0" w:space="0" w:color="auto"/>
        <w:left w:val="none" w:sz="0" w:space="0" w:color="auto"/>
        <w:bottom w:val="none" w:sz="0" w:space="0" w:color="auto"/>
        <w:right w:val="none" w:sz="0" w:space="0" w:color="auto"/>
      </w:divBdr>
    </w:div>
    <w:div w:id="143280294">
      <w:bodyDiv w:val="1"/>
      <w:marLeft w:val="0"/>
      <w:marRight w:val="0"/>
      <w:marTop w:val="0"/>
      <w:marBottom w:val="0"/>
      <w:divBdr>
        <w:top w:val="none" w:sz="0" w:space="0" w:color="auto"/>
        <w:left w:val="none" w:sz="0" w:space="0" w:color="auto"/>
        <w:bottom w:val="none" w:sz="0" w:space="0" w:color="auto"/>
        <w:right w:val="none" w:sz="0" w:space="0" w:color="auto"/>
      </w:divBdr>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67718517">
      <w:bodyDiv w:val="1"/>
      <w:marLeft w:val="0"/>
      <w:marRight w:val="0"/>
      <w:marTop w:val="0"/>
      <w:marBottom w:val="0"/>
      <w:divBdr>
        <w:top w:val="none" w:sz="0" w:space="0" w:color="auto"/>
        <w:left w:val="none" w:sz="0" w:space="0" w:color="auto"/>
        <w:bottom w:val="none" w:sz="0" w:space="0" w:color="auto"/>
        <w:right w:val="none" w:sz="0" w:space="0" w:color="auto"/>
      </w:divBdr>
    </w:div>
    <w:div w:id="176040401">
      <w:bodyDiv w:val="1"/>
      <w:marLeft w:val="0"/>
      <w:marRight w:val="0"/>
      <w:marTop w:val="0"/>
      <w:marBottom w:val="0"/>
      <w:divBdr>
        <w:top w:val="none" w:sz="0" w:space="0" w:color="auto"/>
        <w:left w:val="none" w:sz="0" w:space="0" w:color="auto"/>
        <w:bottom w:val="none" w:sz="0" w:space="0" w:color="auto"/>
        <w:right w:val="none" w:sz="0" w:space="0" w:color="auto"/>
      </w:divBdr>
    </w:div>
    <w:div w:id="214127968">
      <w:bodyDiv w:val="1"/>
      <w:marLeft w:val="0"/>
      <w:marRight w:val="0"/>
      <w:marTop w:val="0"/>
      <w:marBottom w:val="0"/>
      <w:divBdr>
        <w:top w:val="none" w:sz="0" w:space="0" w:color="auto"/>
        <w:left w:val="none" w:sz="0" w:space="0" w:color="auto"/>
        <w:bottom w:val="none" w:sz="0" w:space="0" w:color="auto"/>
        <w:right w:val="none" w:sz="0" w:space="0" w:color="auto"/>
      </w:divBdr>
    </w:div>
    <w:div w:id="219752398">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51358306">
      <w:bodyDiv w:val="1"/>
      <w:marLeft w:val="0"/>
      <w:marRight w:val="0"/>
      <w:marTop w:val="0"/>
      <w:marBottom w:val="0"/>
      <w:divBdr>
        <w:top w:val="none" w:sz="0" w:space="0" w:color="auto"/>
        <w:left w:val="none" w:sz="0" w:space="0" w:color="auto"/>
        <w:bottom w:val="none" w:sz="0" w:space="0" w:color="auto"/>
        <w:right w:val="none" w:sz="0" w:space="0" w:color="auto"/>
      </w:divBdr>
      <w:divsChild>
        <w:div w:id="480540759">
          <w:marLeft w:val="0"/>
          <w:marRight w:val="0"/>
          <w:marTop w:val="0"/>
          <w:marBottom w:val="0"/>
          <w:divBdr>
            <w:top w:val="none" w:sz="0" w:space="0" w:color="auto"/>
            <w:left w:val="none" w:sz="0" w:space="0" w:color="auto"/>
            <w:bottom w:val="none" w:sz="0" w:space="0" w:color="auto"/>
            <w:right w:val="none" w:sz="0" w:space="0" w:color="auto"/>
          </w:divBdr>
        </w:div>
        <w:div w:id="1321346358">
          <w:marLeft w:val="0"/>
          <w:marRight w:val="0"/>
          <w:marTop w:val="0"/>
          <w:marBottom w:val="0"/>
          <w:divBdr>
            <w:top w:val="none" w:sz="0" w:space="0" w:color="auto"/>
            <w:left w:val="none" w:sz="0" w:space="0" w:color="auto"/>
            <w:bottom w:val="none" w:sz="0" w:space="0" w:color="auto"/>
            <w:right w:val="none" w:sz="0" w:space="0" w:color="auto"/>
          </w:divBdr>
        </w:div>
      </w:divsChild>
    </w:div>
    <w:div w:id="277373613">
      <w:bodyDiv w:val="1"/>
      <w:marLeft w:val="0"/>
      <w:marRight w:val="0"/>
      <w:marTop w:val="0"/>
      <w:marBottom w:val="0"/>
      <w:divBdr>
        <w:top w:val="none" w:sz="0" w:space="0" w:color="auto"/>
        <w:left w:val="none" w:sz="0" w:space="0" w:color="auto"/>
        <w:bottom w:val="none" w:sz="0" w:space="0" w:color="auto"/>
        <w:right w:val="none" w:sz="0" w:space="0" w:color="auto"/>
      </w:divBdr>
      <w:divsChild>
        <w:div w:id="1755937397">
          <w:marLeft w:val="0"/>
          <w:marRight w:val="0"/>
          <w:marTop w:val="0"/>
          <w:marBottom w:val="0"/>
          <w:divBdr>
            <w:top w:val="none" w:sz="0" w:space="0" w:color="auto"/>
            <w:left w:val="none" w:sz="0" w:space="0" w:color="auto"/>
            <w:bottom w:val="none" w:sz="0" w:space="0" w:color="auto"/>
            <w:right w:val="none" w:sz="0" w:space="0" w:color="auto"/>
          </w:divBdr>
        </w:div>
        <w:div w:id="2134010918">
          <w:marLeft w:val="0"/>
          <w:marRight w:val="0"/>
          <w:marTop w:val="0"/>
          <w:marBottom w:val="0"/>
          <w:divBdr>
            <w:top w:val="none" w:sz="0" w:space="0" w:color="auto"/>
            <w:left w:val="none" w:sz="0" w:space="0" w:color="auto"/>
            <w:bottom w:val="none" w:sz="0" w:space="0" w:color="auto"/>
            <w:right w:val="none" w:sz="0" w:space="0" w:color="auto"/>
          </w:divBdr>
        </w:div>
      </w:divsChild>
    </w:div>
    <w:div w:id="315233292">
      <w:bodyDiv w:val="1"/>
      <w:marLeft w:val="0"/>
      <w:marRight w:val="0"/>
      <w:marTop w:val="0"/>
      <w:marBottom w:val="0"/>
      <w:divBdr>
        <w:top w:val="none" w:sz="0" w:space="0" w:color="auto"/>
        <w:left w:val="none" w:sz="0" w:space="0" w:color="auto"/>
        <w:bottom w:val="none" w:sz="0" w:space="0" w:color="auto"/>
        <w:right w:val="none" w:sz="0" w:space="0" w:color="auto"/>
      </w:divBdr>
    </w:div>
    <w:div w:id="329212687">
      <w:bodyDiv w:val="1"/>
      <w:marLeft w:val="0"/>
      <w:marRight w:val="0"/>
      <w:marTop w:val="0"/>
      <w:marBottom w:val="0"/>
      <w:divBdr>
        <w:top w:val="none" w:sz="0" w:space="0" w:color="auto"/>
        <w:left w:val="none" w:sz="0" w:space="0" w:color="auto"/>
        <w:bottom w:val="none" w:sz="0" w:space="0" w:color="auto"/>
        <w:right w:val="none" w:sz="0" w:space="0" w:color="auto"/>
      </w:divBdr>
    </w:div>
    <w:div w:id="334457980">
      <w:bodyDiv w:val="1"/>
      <w:marLeft w:val="0"/>
      <w:marRight w:val="0"/>
      <w:marTop w:val="0"/>
      <w:marBottom w:val="0"/>
      <w:divBdr>
        <w:top w:val="none" w:sz="0" w:space="0" w:color="auto"/>
        <w:left w:val="none" w:sz="0" w:space="0" w:color="auto"/>
        <w:bottom w:val="none" w:sz="0" w:space="0" w:color="auto"/>
        <w:right w:val="none" w:sz="0" w:space="0" w:color="auto"/>
      </w:divBdr>
    </w:div>
    <w:div w:id="385879763">
      <w:bodyDiv w:val="1"/>
      <w:marLeft w:val="0"/>
      <w:marRight w:val="0"/>
      <w:marTop w:val="0"/>
      <w:marBottom w:val="0"/>
      <w:divBdr>
        <w:top w:val="none" w:sz="0" w:space="0" w:color="auto"/>
        <w:left w:val="none" w:sz="0" w:space="0" w:color="auto"/>
        <w:bottom w:val="none" w:sz="0" w:space="0" w:color="auto"/>
        <w:right w:val="none" w:sz="0" w:space="0" w:color="auto"/>
      </w:divBdr>
    </w:div>
    <w:div w:id="386613988">
      <w:bodyDiv w:val="1"/>
      <w:marLeft w:val="0"/>
      <w:marRight w:val="0"/>
      <w:marTop w:val="0"/>
      <w:marBottom w:val="0"/>
      <w:divBdr>
        <w:top w:val="none" w:sz="0" w:space="0" w:color="auto"/>
        <w:left w:val="none" w:sz="0" w:space="0" w:color="auto"/>
        <w:bottom w:val="none" w:sz="0" w:space="0" w:color="auto"/>
        <w:right w:val="none" w:sz="0" w:space="0" w:color="auto"/>
      </w:divBdr>
    </w:div>
    <w:div w:id="426655512">
      <w:bodyDiv w:val="1"/>
      <w:marLeft w:val="0"/>
      <w:marRight w:val="0"/>
      <w:marTop w:val="0"/>
      <w:marBottom w:val="0"/>
      <w:divBdr>
        <w:top w:val="none" w:sz="0" w:space="0" w:color="auto"/>
        <w:left w:val="none" w:sz="0" w:space="0" w:color="auto"/>
        <w:bottom w:val="none" w:sz="0" w:space="0" w:color="auto"/>
        <w:right w:val="none" w:sz="0" w:space="0" w:color="auto"/>
      </w:divBdr>
    </w:div>
    <w:div w:id="453905874">
      <w:bodyDiv w:val="1"/>
      <w:marLeft w:val="0"/>
      <w:marRight w:val="0"/>
      <w:marTop w:val="0"/>
      <w:marBottom w:val="0"/>
      <w:divBdr>
        <w:top w:val="none" w:sz="0" w:space="0" w:color="auto"/>
        <w:left w:val="none" w:sz="0" w:space="0" w:color="auto"/>
        <w:bottom w:val="none" w:sz="0" w:space="0" w:color="auto"/>
        <w:right w:val="none" w:sz="0" w:space="0" w:color="auto"/>
      </w:divBdr>
    </w:div>
    <w:div w:id="458106105">
      <w:bodyDiv w:val="1"/>
      <w:marLeft w:val="0"/>
      <w:marRight w:val="0"/>
      <w:marTop w:val="0"/>
      <w:marBottom w:val="0"/>
      <w:divBdr>
        <w:top w:val="none" w:sz="0" w:space="0" w:color="auto"/>
        <w:left w:val="none" w:sz="0" w:space="0" w:color="auto"/>
        <w:bottom w:val="none" w:sz="0" w:space="0" w:color="auto"/>
        <w:right w:val="none" w:sz="0" w:space="0" w:color="auto"/>
      </w:divBdr>
    </w:div>
    <w:div w:id="490944342">
      <w:bodyDiv w:val="1"/>
      <w:marLeft w:val="0"/>
      <w:marRight w:val="0"/>
      <w:marTop w:val="0"/>
      <w:marBottom w:val="0"/>
      <w:divBdr>
        <w:top w:val="none" w:sz="0" w:space="0" w:color="auto"/>
        <w:left w:val="none" w:sz="0" w:space="0" w:color="auto"/>
        <w:bottom w:val="none" w:sz="0" w:space="0" w:color="auto"/>
        <w:right w:val="none" w:sz="0" w:space="0" w:color="auto"/>
      </w:divBdr>
    </w:div>
    <w:div w:id="524174583">
      <w:bodyDiv w:val="1"/>
      <w:marLeft w:val="0"/>
      <w:marRight w:val="0"/>
      <w:marTop w:val="0"/>
      <w:marBottom w:val="0"/>
      <w:divBdr>
        <w:top w:val="none" w:sz="0" w:space="0" w:color="auto"/>
        <w:left w:val="none" w:sz="0" w:space="0" w:color="auto"/>
        <w:bottom w:val="none" w:sz="0" w:space="0" w:color="auto"/>
        <w:right w:val="none" w:sz="0" w:space="0" w:color="auto"/>
      </w:divBdr>
    </w:div>
    <w:div w:id="556086449">
      <w:bodyDiv w:val="1"/>
      <w:marLeft w:val="0"/>
      <w:marRight w:val="0"/>
      <w:marTop w:val="0"/>
      <w:marBottom w:val="0"/>
      <w:divBdr>
        <w:top w:val="none" w:sz="0" w:space="0" w:color="auto"/>
        <w:left w:val="none" w:sz="0" w:space="0" w:color="auto"/>
        <w:bottom w:val="none" w:sz="0" w:space="0" w:color="auto"/>
        <w:right w:val="none" w:sz="0" w:space="0" w:color="auto"/>
      </w:divBdr>
    </w:div>
    <w:div w:id="556160311">
      <w:bodyDiv w:val="1"/>
      <w:marLeft w:val="0"/>
      <w:marRight w:val="0"/>
      <w:marTop w:val="0"/>
      <w:marBottom w:val="0"/>
      <w:divBdr>
        <w:top w:val="none" w:sz="0" w:space="0" w:color="auto"/>
        <w:left w:val="none" w:sz="0" w:space="0" w:color="auto"/>
        <w:bottom w:val="none" w:sz="0" w:space="0" w:color="auto"/>
        <w:right w:val="none" w:sz="0" w:space="0" w:color="auto"/>
      </w:divBdr>
    </w:div>
    <w:div w:id="563687519">
      <w:bodyDiv w:val="1"/>
      <w:marLeft w:val="0"/>
      <w:marRight w:val="0"/>
      <w:marTop w:val="0"/>
      <w:marBottom w:val="0"/>
      <w:divBdr>
        <w:top w:val="none" w:sz="0" w:space="0" w:color="auto"/>
        <w:left w:val="none" w:sz="0" w:space="0" w:color="auto"/>
        <w:bottom w:val="none" w:sz="0" w:space="0" w:color="auto"/>
        <w:right w:val="none" w:sz="0" w:space="0" w:color="auto"/>
      </w:divBdr>
    </w:div>
    <w:div w:id="582834082">
      <w:bodyDiv w:val="1"/>
      <w:marLeft w:val="0"/>
      <w:marRight w:val="0"/>
      <w:marTop w:val="0"/>
      <w:marBottom w:val="0"/>
      <w:divBdr>
        <w:top w:val="none" w:sz="0" w:space="0" w:color="auto"/>
        <w:left w:val="none" w:sz="0" w:space="0" w:color="auto"/>
        <w:bottom w:val="none" w:sz="0" w:space="0" w:color="auto"/>
        <w:right w:val="none" w:sz="0" w:space="0" w:color="auto"/>
      </w:divBdr>
    </w:div>
    <w:div w:id="611590333">
      <w:bodyDiv w:val="1"/>
      <w:marLeft w:val="0"/>
      <w:marRight w:val="0"/>
      <w:marTop w:val="0"/>
      <w:marBottom w:val="0"/>
      <w:divBdr>
        <w:top w:val="none" w:sz="0" w:space="0" w:color="auto"/>
        <w:left w:val="none" w:sz="0" w:space="0" w:color="auto"/>
        <w:bottom w:val="none" w:sz="0" w:space="0" w:color="auto"/>
        <w:right w:val="none" w:sz="0" w:space="0" w:color="auto"/>
      </w:divBdr>
    </w:div>
    <w:div w:id="624776066">
      <w:bodyDiv w:val="1"/>
      <w:marLeft w:val="0"/>
      <w:marRight w:val="0"/>
      <w:marTop w:val="0"/>
      <w:marBottom w:val="0"/>
      <w:divBdr>
        <w:top w:val="none" w:sz="0" w:space="0" w:color="auto"/>
        <w:left w:val="none" w:sz="0" w:space="0" w:color="auto"/>
        <w:bottom w:val="none" w:sz="0" w:space="0" w:color="auto"/>
        <w:right w:val="none" w:sz="0" w:space="0" w:color="auto"/>
      </w:divBdr>
    </w:div>
    <w:div w:id="654771065">
      <w:bodyDiv w:val="1"/>
      <w:marLeft w:val="0"/>
      <w:marRight w:val="0"/>
      <w:marTop w:val="0"/>
      <w:marBottom w:val="0"/>
      <w:divBdr>
        <w:top w:val="none" w:sz="0" w:space="0" w:color="auto"/>
        <w:left w:val="none" w:sz="0" w:space="0" w:color="auto"/>
        <w:bottom w:val="none" w:sz="0" w:space="0" w:color="auto"/>
        <w:right w:val="none" w:sz="0" w:space="0" w:color="auto"/>
      </w:divBdr>
    </w:div>
    <w:div w:id="689181128">
      <w:bodyDiv w:val="1"/>
      <w:marLeft w:val="0"/>
      <w:marRight w:val="0"/>
      <w:marTop w:val="0"/>
      <w:marBottom w:val="0"/>
      <w:divBdr>
        <w:top w:val="none" w:sz="0" w:space="0" w:color="auto"/>
        <w:left w:val="none" w:sz="0" w:space="0" w:color="auto"/>
        <w:bottom w:val="none" w:sz="0" w:space="0" w:color="auto"/>
        <w:right w:val="none" w:sz="0" w:space="0" w:color="auto"/>
      </w:divBdr>
    </w:div>
    <w:div w:id="702362895">
      <w:bodyDiv w:val="1"/>
      <w:marLeft w:val="0"/>
      <w:marRight w:val="0"/>
      <w:marTop w:val="0"/>
      <w:marBottom w:val="0"/>
      <w:divBdr>
        <w:top w:val="none" w:sz="0" w:space="0" w:color="auto"/>
        <w:left w:val="none" w:sz="0" w:space="0" w:color="auto"/>
        <w:bottom w:val="none" w:sz="0" w:space="0" w:color="auto"/>
        <w:right w:val="none" w:sz="0" w:space="0" w:color="auto"/>
      </w:divBdr>
    </w:div>
    <w:div w:id="742415578">
      <w:bodyDiv w:val="1"/>
      <w:marLeft w:val="0"/>
      <w:marRight w:val="0"/>
      <w:marTop w:val="0"/>
      <w:marBottom w:val="0"/>
      <w:divBdr>
        <w:top w:val="none" w:sz="0" w:space="0" w:color="auto"/>
        <w:left w:val="none" w:sz="0" w:space="0" w:color="auto"/>
        <w:bottom w:val="none" w:sz="0" w:space="0" w:color="auto"/>
        <w:right w:val="none" w:sz="0" w:space="0" w:color="auto"/>
      </w:divBdr>
    </w:div>
    <w:div w:id="745613603">
      <w:bodyDiv w:val="1"/>
      <w:marLeft w:val="0"/>
      <w:marRight w:val="0"/>
      <w:marTop w:val="0"/>
      <w:marBottom w:val="0"/>
      <w:divBdr>
        <w:top w:val="none" w:sz="0" w:space="0" w:color="auto"/>
        <w:left w:val="none" w:sz="0" w:space="0" w:color="auto"/>
        <w:bottom w:val="none" w:sz="0" w:space="0" w:color="auto"/>
        <w:right w:val="none" w:sz="0" w:space="0" w:color="auto"/>
      </w:divBdr>
    </w:div>
    <w:div w:id="762337118">
      <w:bodyDiv w:val="1"/>
      <w:marLeft w:val="0"/>
      <w:marRight w:val="0"/>
      <w:marTop w:val="0"/>
      <w:marBottom w:val="0"/>
      <w:divBdr>
        <w:top w:val="none" w:sz="0" w:space="0" w:color="auto"/>
        <w:left w:val="none" w:sz="0" w:space="0" w:color="auto"/>
        <w:bottom w:val="none" w:sz="0" w:space="0" w:color="auto"/>
        <w:right w:val="none" w:sz="0" w:space="0" w:color="auto"/>
      </w:divBdr>
    </w:div>
    <w:div w:id="853304958">
      <w:bodyDiv w:val="1"/>
      <w:marLeft w:val="0"/>
      <w:marRight w:val="0"/>
      <w:marTop w:val="0"/>
      <w:marBottom w:val="0"/>
      <w:divBdr>
        <w:top w:val="none" w:sz="0" w:space="0" w:color="auto"/>
        <w:left w:val="none" w:sz="0" w:space="0" w:color="auto"/>
        <w:bottom w:val="none" w:sz="0" w:space="0" w:color="auto"/>
        <w:right w:val="none" w:sz="0" w:space="0" w:color="auto"/>
      </w:divBdr>
    </w:div>
    <w:div w:id="926502973">
      <w:bodyDiv w:val="1"/>
      <w:marLeft w:val="0"/>
      <w:marRight w:val="0"/>
      <w:marTop w:val="0"/>
      <w:marBottom w:val="0"/>
      <w:divBdr>
        <w:top w:val="none" w:sz="0" w:space="0" w:color="auto"/>
        <w:left w:val="none" w:sz="0" w:space="0" w:color="auto"/>
        <w:bottom w:val="none" w:sz="0" w:space="0" w:color="auto"/>
        <w:right w:val="none" w:sz="0" w:space="0" w:color="auto"/>
      </w:divBdr>
    </w:div>
    <w:div w:id="971859831">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10256898">
      <w:bodyDiv w:val="1"/>
      <w:marLeft w:val="0"/>
      <w:marRight w:val="0"/>
      <w:marTop w:val="0"/>
      <w:marBottom w:val="0"/>
      <w:divBdr>
        <w:top w:val="none" w:sz="0" w:space="0" w:color="auto"/>
        <w:left w:val="none" w:sz="0" w:space="0" w:color="auto"/>
        <w:bottom w:val="none" w:sz="0" w:space="0" w:color="auto"/>
        <w:right w:val="none" w:sz="0" w:space="0" w:color="auto"/>
      </w:divBdr>
    </w:div>
    <w:div w:id="1019240233">
      <w:bodyDiv w:val="1"/>
      <w:marLeft w:val="0"/>
      <w:marRight w:val="0"/>
      <w:marTop w:val="0"/>
      <w:marBottom w:val="0"/>
      <w:divBdr>
        <w:top w:val="none" w:sz="0" w:space="0" w:color="auto"/>
        <w:left w:val="none" w:sz="0" w:space="0" w:color="auto"/>
        <w:bottom w:val="none" w:sz="0" w:space="0" w:color="auto"/>
        <w:right w:val="none" w:sz="0" w:space="0" w:color="auto"/>
      </w:divBdr>
    </w:div>
    <w:div w:id="1035079474">
      <w:bodyDiv w:val="1"/>
      <w:marLeft w:val="0"/>
      <w:marRight w:val="0"/>
      <w:marTop w:val="0"/>
      <w:marBottom w:val="0"/>
      <w:divBdr>
        <w:top w:val="none" w:sz="0" w:space="0" w:color="auto"/>
        <w:left w:val="none" w:sz="0" w:space="0" w:color="auto"/>
        <w:bottom w:val="none" w:sz="0" w:space="0" w:color="auto"/>
        <w:right w:val="none" w:sz="0" w:space="0" w:color="auto"/>
      </w:divBdr>
    </w:div>
    <w:div w:id="1039545695">
      <w:bodyDiv w:val="1"/>
      <w:marLeft w:val="0"/>
      <w:marRight w:val="0"/>
      <w:marTop w:val="0"/>
      <w:marBottom w:val="0"/>
      <w:divBdr>
        <w:top w:val="none" w:sz="0" w:space="0" w:color="auto"/>
        <w:left w:val="none" w:sz="0" w:space="0" w:color="auto"/>
        <w:bottom w:val="none" w:sz="0" w:space="0" w:color="auto"/>
        <w:right w:val="none" w:sz="0" w:space="0" w:color="auto"/>
      </w:divBdr>
    </w:div>
    <w:div w:id="1062365980">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58767791">
      <w:bodyDiv w:val="1"/>
      <w:marLeft w:val="0"/>
      <w:marRight w:val="0"/>
      <w:marTop w:val="0"/>
      <w:marBottom w:val="0"/>
      <w:divBdr>
        <w:top w:val="none" w:sz="0" w:space="0" w:color="auto"/>
        <w:left w:val="none" w:sz="0" w:space="0" w:color="auto"/>
        <w:bottom w:val="none" w:sz="0" w:space="0" w:color="auto"/>
        <w:right w:val="none" w:sz="0" w:space="0" w:color="auto"/>
      </w:divBdr>
    </w:div>
    <w:div w:id="1165049517">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67348782">
      <w:bodyDiv w:val="1"/>
      <w:marLeft w:val="0"/>
      <w:marRight w:val="0"/>
      <w:marTop w:val="0"/>
      <w:marBottom w:val="0"/>
      <w:divBdr>
        <w:top w:val="none" w:sz="0" w:space="0" w:color="auto"/>
        <w:left w:val="none" w:sz="0" w:space="0" w:color="auto"/>
        <w:bottom w:val="none" w:sz="0" w:space="0" w:color="auto"/>
        <w:right w:val="none" w:sz="0" w:space="0" w:color="auto"/>
      </w:divBdr>
    </w:div>
    <w:div w:id="1306427340">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386760023">
      <w:bodyDiv w:val="1"/>
      <w:marLeft w:val="0"/>
      <w:marRight w:val="0"/>
      <w:marTop w:val="0"/>
      <w:marBottom w:val="0"/>
      <w:divBdr>
        <w:top w:val="none" w:sz="0" w:space="0" w:color="auto"/>
        <w:left w:val="none" w:sz="0" w:space="0" w:color="auto"/>
        <w:bottom w:val="none" w:sz="0" w:space="0" w:color="auto"/>
        <w:right w:val="none" w:sz="0" w:space="0" w:color="auto"/>
      </w:divBdr>
    </w:div>
    <w:div w:id="1416510084">
      <w:bodyDiv w:val="1"/>
      <w:marLeft w:val="0"/>
      <w:marRight w:val="0"/>
      <w:marTop w:val="0"/>
      <w:marBottom w:val="0"/>
      <w:divBdr>
        <w:top w:val="none" w:sz="0" w:space="0" w:color="auto"/>
        <w:left w:val="none" w:sz="0" w:space="0" w:color="auto"/>
        <w:bottom w:val="none" w:sz="0" w:space="0" w:color="auto"/>
        <w:right w:val="none" w:sz="0" w:space="0" w:color="auto"/>
      </w:divBdr>
    </w:div>
    <w:div w:id="1445462060">
      <w:bodyDiv w:val="1"/>
      <w:marLeft w:val="0"/>
      <w:marRight w:val="0"/>
      <w:marTop w:val="0"/>
      <w:marBottom w:val="0"/>
      <w:divBdr>
        <w:top w:val="none" w:sz="0" w:space="0" w:color="auto"/>
        <w:left w:val="none" w:sz="0" w:space="0" w:color="auto"/>
        <w:bottom w:val="none" w:sz="0" w:space="0" w:color="auto"/>
        <w:right w:val="none" w:sz="0" w:space="0" w:color="auto"/>
      </w:divBdr>
    </w:div>
    <w:div w:id="1519196323">
      <w:bodyDiv w:val="1"/>
      <w:marLeft w:val="0"/>
      <w:marRight w:val="0"/>
      <w:marTop w:val="0"/>
      <w:marBottom w:val="0"/>
      <w:divBdr>
        <w:top w:val="none" w:sz="0" w:space="0" w:color="auto"/>
        <w:left w:val="none" w:sz="0" w:space="0" w:color="auto"/>
        <w:bottom w:val="none" w:sz="0" w:space="0" w:color="auto"/>
        <w:right w:val="none" w:sz="0" w:space="0" w:color="auto"/>
      </w:divBdr>
    </w:div>
    <w:div w:id="1546675384">
      <w:bodyDiv w:val="1"/>
      <w:marLeft w:val="0"/>
      <w:marRight w:val="0"/>
      <w:marTop w:val="0"/>
      <w:marBottom w:val="0"/>
      <w:divBdr>
        <w:top w:val="none" w:sz="0" w:space="0" w:color="auto"/>
        <w:left w:val="none" w:sz="0" w:space="0" w:color="auto"/>
        <w:bottom w:val="none" w:sz="0" w:space="0" w:color="auto"/>
        <w:right w:val="none" w:sz="0" w:space="0" w:color="auto"/>
      </w:divBdr>
    </w:div>
    <w:div w:id="1643267333">
      <w:bodyDiv w:val="1"/>
      <w:marLeft w:val="0"/>
      <w:marRight w:val="0"/>
      <w:marTop w:val="0"/>
      <w:marBottom w:val="0"/>
      <w:divBdr>
        <w:top w:val="none" w:sz="0" w:space="0" w:color="auto"/>
        <w:left w:val="none" w:sz="0" w:space="0" w:color="auto"/>
        <w:bottom w:val="none" w:sz="0" w:space="0" w:color="auto"/>
        <w:right w:val="none" w:sz="0" w:space="0" w:color="auto"/>
      </w:divBdr>
    </w:div>
    <w:div w:id="1670403863">
      <w:bodyDiv w:val="1"/>
      <w:marLeft w:val="0"/>
      <w:marRight w:val="0"/>
      <w:marTop w:val="0"/>
      <w:marBottom w:val="0"/>
      <w:divBdr>
        <w:top w:val="none" w:sz="0" w:space="0" w:color="auto"/>
        <w:left w:val="none" w:sz="0" w:space="0" w:color="auto"/>
        <w:bottom w:val="none" w:sz="0" w:space="0" w:color="auto"/>
        <w:right w:val="none" w:sz="0" w:space="0" w:color="auto"/>
      </w:divBdr>
    </w:div>
    <w:div w:id="1674869366">
      <w:bodyDiv w:val="1"/>
      <w:marLeft w:val="0"/>
      <w:marRight w:val="0"/>
      <w:marTop w:val="0"/>
      <w:marBottom w:val="0"/>
      <w:divBdr>
        <w:top w:val="none" w:sz="0" w:space="0" w:color="auto"/>
        <w:left w:val="none" w:sz="0" w:space="0" w:color="auto"/>
        <w:bottom w:val="none" w:sz="0" w:space="0" w:color="auto"/>
        <w:right w:val="none" w:sz="0" w:space="0" w:color="auto"/>
      </w:divBdr>
    </w:div>
    <w:div w:id="1677414006">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86135342">
      <w:bodyDiv w:val="1"/>
      <w:marLeft w:val="0"/>
      <w:marRight w:val="0"/>
      <w:marTop w:val="0"/>
      <w:marBottom w:val="0"/>
      <w:divBdr>
        <w:top w:val="none" w:sz="0" w:space="0" w:color="auto"/>
        <w:left w:val="none" w:sz="0" w:space="0" w:color="auto"/>
        <w:bottom w:val="none" w:sz="0" w:space="0" w:color="auto"/>
        <w:right w:val="none" w:sz="0" w:space="0" w:color="auto"/>
      </w:divBdr>
    </w:div>
    <w:div w:id="1955356455">
      <w:bodyDiv w:val="1"/>
      <w:marLeft w:val="0"/>
      <w:marRight w:val="0"/>
      <w:marTop w:val="0"/>
      <w:marBottom w:val="0"/>
      <w:divBdr>
        <w:top w:val="none" w:sz="0" w:space="0" w:color="auto"/>
        <w:left w:val="none" w:sz="0" w:space="0" w:color="auto"/>
        <w:bottom w:val="none" w:sz="0" w:space="0" w:color="auto"/>
        <w:right w:val="none" w:sz="0" w:space="0" w:color="auto"/>
      </w:divBdr>
    </w:div>
    <w:div w:id="1983071955">
      <w:bodyDiv w:val="1"/>
      <w:marLeft w:val="0"/>
      <w:marRight w:val="0"/>
      <w:marTop w:val="0"/>
      <w:marBottom w:val="0"/>
      <w:divBdr>
        <w:top w:val="none" w:sz="0" w:space="0" w:color="auto"/>
        <w:left w:val="none" w:sz="0" w:space="0" w:color="auto"/>
        <w:bottom w:val="none" w:sz="0" w:space="0" w:color="auto"/>
        <w:right w:val="none" w:sz="0" w:space="0" w:color="auto"/>
      </w:divBdr>
    </w:div>
    <w:div w:id="1984112740">
      <w:bodyDiv w:val="1"/>
      <w:marLeft w:val="0"/>
      <w:marRight w:val="0"/>
      <w:marTop w:val="0"/>
      <w:marBottom w:val="0"/>
      <w:divBdr>
        <w:top w:val="none" w:sz="0" w:space="0" w:color="auto"/>
        <w:left w:val="none" w:sz="0" w:space="0" w:color="auto"/>
        <w:bottom w:val="none" w:sz="0" w:space="0" w:color="auto"/>
        <w:right w:val="none" w:sz="0" w:space="0" w:color="auto"/>
      </w:divBdr>
    </w:div>
    <w:div w:id="1990476513">
      <w:bodyDiv w:val="1"/>
      <w:marLeft w:val="0"/>
      <w:marRight w:val="0"/>
      <w:marTop w:val="0"/>
      <w:marBottom w:val="0"/>
      <w:divBdr>
        <w:top w:val="none" w:sz="0" w:space="0" w:color="auto"/>
        <w:left w:val="none" w:sz="0" w:space="0" w:color="auto"/>
        <w:bottom w:val="none" w:sz="0" w:space="0" w:color="auto"/>
        <w:right w:val="none" w:sz="0" w:space="0" w:color="auto"/>
      </w:divBdr>
    </w:div>
    <w:div w:id="1990673784">
      <w:bodyDiv w:val="1"/>
      <w:marLeft w:val="0"/>
      <w:marRight w:val="0"/>
      <w:marTop w:val="0"/>
      <w:marBottom w:val="0"/>
      <w:divBdr>
        <w:top w:val="none" w:sz="0" w:space="0" w:color="auto"/>
        <w:left w:val="none" w:sz="0" w:space="0" w:color="auto"/>
        <w:bottom w:val="none" w:sz="0" w:space="0" w:color="auto"/>
        <w:right w:val="none" w:sz="0" w:space="0" w:color="auto"/>
      </w:divBdr>
    </w:div>
    <w:div w:id="1991667967">
      <w:bodyDiv w:val="1"/>
      <w:marLeft w:val="0"/>
      <w:marRight w:val="0"/>
      <w:marTop w:val="0"/>
      <w:marBottom w:val="0"/>
      <w:divBdr>
        <w:top w:val="none" w:sz="0" w:space="0" w:color="auto"/>
        <w:left w:val="none" w:sz="0" w:space="0" w:color="auto"/>
        <w:bottom w:val="none" w:sz="0" w:space="0" w:color="auto"/>
        <w:right w:val="none" w:sz="0" w:space="0" w:color="auto"/>
      </w:divBdr>
    </w:div>
    <w:div w:id="2043893899">
      <w:bodyDiv w:val="1"/>
      <w:marLeft w:val="0"/>
      <w:marRight w:val="0"/>
      <w:marTop w:val="0"/>
      <w:marBottom w:val="0"/>
      <w:divBdr>
        <w:top w:val="none" w:sz="0" w:space="0" w:color="auto"/>
        <w:left w:val="none" w:sz="0" w:space="0" w:color="auto"/>
        <w:bottom w:val="none" w:sz="0" w:space="0" w:color="auto"/>
        <w:right w:val="none" w:sz="0" w:space="0" w:color="auto"/>
      </w:divBdr>
    </w:div>
    <w:div w:id="2053576577">
      <w:bodyDiv w:val="1"/>
      <w:marLeft w:val="0"/>
      <w:marRight w:val="0"/>
      <w:marTop w:val="0"/>
      <w:marBottom w:val="0"/>
      <w:divBdr>
        <w:top w:val="none" w:sz="0" w:space="0" w:color="auto"/>
        <w:left w:val="none" w:sz="0" w:space="0" w:color="auto"/>
        <w:bottom w:val="none" w:sz="0" w:space="0" w:color="auto"/>
        <w:right w:val="none" w:sz="0" w:space="0" w:color="auto"/>
      </w:divBdr>
    </w:div>
    <w:div w:id="2056198341">
      <w:bodyDiv w:val="1"/>
      <w:marLeft w:val="0"/>
      <w:marRight w:val="0"/>
      <w:marTop w:val="0"/>
      <w:marBottom w:val="0"/>
      <w:divBdr>
        <w:top w:val="none" w:sz="0" w:space="0" w:color="auto"/>
        <w:left w:val="none" w:sz="0" w:space="0" w:color="auto"/>
        <w:bottom w:val="none" w:sz="0" w:space="0" w:color="auto"/>
        <w:right w:val="none" w:sz="0" w:space="0" w:color="auto"/>
      </w:divBdr>
    </w:div>
    <w:div w:id="2057316187">
      <w:bodyDiv w:val="1"/>
      <w:marLeft w:val="0"/>
      <w:marRight w:val="0"/>
      <w:marTop w:val="0"/>
      <w:marBottom w:val="0"/>
      <w:divBdr>
        <w:top w:val="none" w:sz="0" w:space="0" w:color="auto"/>
        <w:left w:val="none" w:sz="0" w:space="0" w:color="auto"/>
        <w:bottom w:val="none" w:sz="0" w:space="0" w:color="auto"/>
        <w:right w:val="none" w:sz="0" w:space="0" w:color="auto"/>
      </w:divBdr>
    </w:div>
    <w:div w:id="2070568929">
      <w:bodyDiv w:val="1"/>
      <w:marLeft w:val="0"/>
      <w:marRight w:val="0"/>
      <w:marTop w:val="0"/>
      <w:marBottom w:val="0"/>
      <w:divBdr>
        <w:top w:val="none" w:sz="0" w:space="0" w:color="auto"/>
        <w:left w:val="none" w:sz="0" w:space="0" w:color="auto"/>
        <w:bottom w:val="none" w:sz="0" w:space="0" w:color="auto"/>
        <w:right w:val="none" w:sz="0" w:space="0" w:color="auto"/>
      </w:divBdr>
    </w:div>
    <w:div w:id="2138833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13CE51-47BA-48A1-B4EB-404CE34263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650</Words>
  <Characters>3252</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3895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2011-03-01T09:52:00Z</cp:lastPrinted>
  <dcterms:created xsi:type="dcterms:W3CDTF">2026-05-11T04:46:00Z</dcterms:created>
  <dcterms:modified xsi:type="dcterms:W3CDTF">2026-05-11T04:46:00Z</dcterms:modified>
</cp:coreProperties>
</file>